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A1" w:rsidRPr="00ED4806" w:rsidRDefault="00CE3FC2" w:rsidP="00366DA1">
      <w:pPr>
        <w:spacing w:line="360" w:lineRule="auto"/>
        <w:rPr>
          <w:b/>
          <w:sz w:val="28"/>
          <w:szCs w:val="28"/>
        </w:rPr>
      </w:pPr>
      <w:r>
        <w:rPr>
          <w:b/>
          <w:sz w:val="28"/>
          <w:szCs w:val="28"/>
        </w:rPr>
        <w:t>ASRJETS</w:t>
      </w:r>
      <w:r w:rsidR="00366DA1"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rsidR="00CE3FC2">
        <w:t>ASRJETS</w:t>
      </w:r>
      <w:r>
        <w:t xml:space="preserve"> </w:t>
      </w:r>
      <w:r w:rsidRPr="005F7EA7">
        <w:t xml:space="preserve"> and must accompany any such material in order to be published by </w:t>
      </w:r>
      <w:r w:rsidR="00CE3FC2">
        <w:t>ASRJETS</w:t>
      </w:r>
      <w:r>
        <w:t xml:space="preserve"> </w:t>
      </w:r>
      <w:r w:rsidRPr="005F7EA7">
        <w:t>.</w:t>
      </w:r>
      <w:r>
        <w:t xml:space="preserve"> </w:t>
      </w:r>
      <w:r w:rsidRPr="005F7EA7">
        <w:t>Please read the form carefully</w:t>
      </w:r>
      <w:r>
        <w:t>.</w:t>
      </w:r>
    </w:p>
    <w:p w:rsidR="009421F1" w:rsidRDefault="00366DA1" w:rsidP="009421F1">
      <w:pPr>
        <w:spacing w:before="100" w:beforeAutospacing="1"/>
        <w:rPr>
          <w:b/>
          <w:sz w:val="36"/>
          <w:szCs w:val="36"/>
          <w:lang w:eastAsia="en-GB"/>
        </w:rPr>
      </w:pPr>
      <w:r w:rsidRPr="00AD2CC9">
        <w:t>TITLE OF PAPER</w:t>
      </w:r>
      <w:r>
        <w:t xml:space="preserve"> </w:t>
      </w:r>
      <w:r w:rsidRPr="00AD2CC9">
        <w:t>INCLUDING ALL CONTENT IN ANY FORM, FORMAT,</w:t>
      </w:r>
      <w:r>
        <w:t xml:space="preserve"> </w:t>
      </w:r>
      <w:r w:rsidRPr="00AD2CC9">
        <w:t xml:space="preserve">OR MEDIA (hereinafter, </w:t>
      </w:r>
      <w:r w:rsidRPr="00F07ADD">
        <w:rPr>
          <w:highlight w:val="yellow"/>
        </w:rPr>
        <w:t>"</w:t>
      </w:r>
      <w:r w:rsidR="009421F1" w:rsidRPr="009421F1">
        <w:rPr>
          <w:b/>
          <w:sz w:val="36"/>
          <w:szCs w:val="36"/>
          <w:lang w:eastAsia="en-GB"/>
        </w:rPr>
        <w:t xml:space="preserve"> </w:t>
      </w:r>
      <w:r w:rsidR="009421F1" w:rsidRPr="00BB1B43">
        <w:rPr>
          <w:b/>
          <w:sz w:val="36"/>
          <w:szCs w:val="36"/>
          <w:lang w:eastAsia="en-GB"/>
        </w:rPr>
        <w:t>Chronic Hepatitis B Virus Infection and Rubella Susceptibility Among Obstetric Population In Metropolis Antenatal Centre Kano, Nigeria</w:t>
      </w:r>
    </w:p>
    <w:p w:rsidR="009421F1" w:rsidRPr="00BB1B43" w:rsidRDefault="00366DA1" w:rsidP="009421F1">
      <w:pPr>
        <w:jc w:val="both"/>
        <w:rPr>
          <w:b/>
          <w:lang w:eastAsia="en-GB"/>
        </w:rPr>
      </w:pPr>
      <w:r w:rsidRPr="00F07ADD">
        <w:rPr>
          <w:highlight w:val="yellow"/>
        </w:rPr>
        <w:t>"):</w:t>
      </w:r>
      <w:r w:rsidR="009421F1" w:rsidRPr="009421F1">
        <w:rPr>
          <w:b/>
          <w:lang w:eastAsia="en-GB"/>
        </w:rPr>
        <w:t xml:space="preserve"> </w:t>
      </w:r>
      <w:r w:rsidR="009421F1" w:rsidRPr="00BB1B43">
        <w:rPr>
          <w:b/>
          <w:lang w:eastAsia="en-GB"/>
        </w:rPr>
        <w:t>A</w:t>
      </w:r>
      <w:bookmarkStart w:id="0" w:name="_GoBack"/>
      <w:bookmarkEnd w:id="0"/>
      <w:r w:rsidR="009421F1" w:rsidRPr="00BB1B43">
        <w:rPr>
          <w:b/>
          <w:lang w:eastAsia="en-GB"/>
        </w:rPr>
        <w:t>bstract</w:t>
      </w:r>
    </w:p>
    <w:p w:rsidR="009421F1" w:rsidRPr="00BB1B43" w:rsidRDefault="009421F1" w:rsidP="009421F1">
      <w:pPr>
        <w:jc w:val="both"/>
        <w:rPr>
          <w:b/>
          <w:lang w:eastAsia="en-GB"/>
        </w:rPr>
      </w:pPr>
    </w:p>
    <w:p w:rsidR="009421F1" w:rsidRPr="00BB1B43" w:rsidRDefault="009421F1" w:rsidP="009421F1">
      <w:pPr>
        <w:pStyle w:val="BodyText"/>
        <w:ind w:firstLine="0"/>
        <w:rPr>
          <w:b/>
          <w:bCs/>
          <w:i/>
          <w:iCs/>
        </w:rPr>
      </w:pPr>
      <w:r w:rsidRPr="00BB1B43">
        <w:rPr>
          <w:lang w:eastAsia="en-GB"/>
        </w:rPr>
        <w:t>It is well known that hepatitis B virus</w:t>
      </w:r>
      <w:r>
        <w:rPr>
          <w:lang w:eastAsia="en-GB"/>
        </w:rPr>
        <w:t xml:space="preserve"> (HBV)</w:t>
      </w:r>
      <w:r w:rsidRPr="00BB1B43">
        <w:rPr>
          <w:lang w:eastAsia="en-GB"/>
        </w:rPr>
        <w:t xml:space="preserve"> infection is endemic in Nigeria. However, increased rubella susceptibility has been shown in patients from the Asian pacific region where chronic HBV infection is endemic. This study was carried out to assess the relationship between chronic HBV infection and rubella susceptibility in obstetric population aged 15–47 years attending Antenatal Clinic at Muhammad Abdullahi Wase Specialist Hospital Kano, Nigeria. From a total of 288 patients screened, 31 (10.76%) were reactive for HBsAg, meanwhile 50 (17.36%) were reactive to rubella IgM. Among the 31 infected patients 15 (48.39%) were from 20 – 24 years age bracket representing the most  susceptible age group while the infection rate was lowest (0.35%) in 45 – 49  age group (P = 0.00). The results of serological markers shows that HBsAg (+) was found in all 31 subjects (100%), anti HBs (+) 0 (0.00%), HBeAg (+) 3 (9.68</w:t>
      </w:r>
      <w:r>
        <w:rPr>
          <w:lang w:eastAsia="en-GB"/>
        </w:rPr>
        <w:t>%);</w:t>
      </w:r>
      <w:r w:rsidRPr="00BB1B43">
        <w:rPr>
          <w:lang w:eastAsia="en-GB"/>
        </w:rPr>
        <w:t xml:space="preserve"> anti HBe (+)</w:t>
      </w:r>
      <w:r>
        <w:rPr>
          <w:lang w:eastAsia="en-GB"/>
        </w:rPr>
        <w:t xml:space="preserve"> </w:t>
      </w:r>
      <w:r w:rsidRPr="00BB1B43">
        <w:rPr>
          <w:lang w:eastAsia="en-GB"/>
        </w:rPr>
        <w:t>and</w:t>
      </w:r>
      <w:r>
        <w:rPr>
          <w:lang w:eastAsia="en-GB"/>
        </w:rPr>
        <w:t xml:space="preserve"> anti</w:t>
      </w:r>
      <w:r w:rsidRPr="00BB1B43">
        <w:rPr>
          <w:lang w:eastAsia="en-GB"/>
        </w:rPr>
        <w:t xml:space="preserve"> HBc (+) 24 (77.42</w:t>
      </w:r>
      <w:r>
        <w:rPr>
          <w:lang w:eastAsia="en-GB"/>
        </w:rPr>
        <w:t>%) respectively</w:t>
      </w:r>
      <w:r w:rsidRPr="00BB1B43">
        <w:rPr>
          <w:lang w:eastAsia="en-GB"/>
        </w:rPr>
        <w:t xml:space="preserve"> (P = 0.09). The study of liver enzymes activity among the HBV positive patients shows abnormal Alanine Aminotransferase (ALT) and Aspartate Aminotransferase (AST) among HBsAg (+) and HBeAg (+) group. However, abnormal Alkaline phospatase (ALP) </w:t>
      </w:r>
      <w:r w:rsidRPr="00046719">
        <w:rPr>
          <w:lang w:eastAsia="en-GB"/>
        </w:rPr>
        <w:t>was found to be non-significantly different</w:t>
      </w:r>
      <w:r w:rsidRPr="00761A56">
        <w:rPr>
          <w:color w:val="FF0000"/>
          <w:lang w:eastAsia="en-GB"/>
        </w:rPr>
        <w:t xml:space="preserve"> </w:t>
      </w:r>
      <w:r w:rsidRPr="00BB1B43">
        <w:rPr>
          <w:lang w:eastAsia="en-GB"/>
        </w:rPr>
        <w:t>between HBsAg (+) and HBeAg (+) vsHBsAg (+) and HBeAg (-) groups (P=0.00). Moreover, obstetric histories such as abortion still birth and neonatal deaths among various age groups with respect to rubella</w:t>
      </w:r>
      <w:r>
        <w:rPr>
          <w:lang w:eastAsia="en-GB"/>
        </w:rPr>
        <w:t xml:space="preserve"> </w:t>
      </w:r>
      <w:r w:rsidRPr="00BB1B43">
        <w:rPr>
          <w:lang w:eastAsia="en-GB"/>
        </w:rPr>
        <w:t>was also studied, it implies that  out of the 50 reactive patients, 35(12.15%)</w:t>
      </w:r>
      <w:r>
        <w:rPr>
          <w:lang w:eastAsia="en-GB"/>
        </w:rPr>
        <w:t xml:space="preserve"> had a</w:t>
      </w:r>
      <w:r w:rsidRPr="00BB1B43">
        <w:rPr>
          <w:lang w:eastAsia="en-GB"/>
        </w:rPr>
        <w:t xml:space="preserve"> previous abnormal ob</w:t>
      </w:r>
      <w:r>
        <w:rPr>
          <w:lang w:eastAsia="en-GB"/>
        </w:rPr>
        <w:t>stetric history</w:t>
      </w:r>
      <w:r w:rsidRPr="00BB1B43">
        <w:rPr>
          <w:lang w:eastAsia="en-GB"/>
        </w:rPr>
        <w:t xml:space="preserve"> (P=0.02). In a comparative study conducted, it was observed that HBV carriers were (25.81%) susceptible to rubella as against (12.91%) observed in HBV free subjects (positive correlation). The study demonstrates strong associations between chronic HBV infection and rubella susceptibility among the studied population.</w:t>
      </w:r>
    </w:p>
    <w:p w:rsidR="009421F1" w:rsidRPr="00BB1B43" w:rsidRDefault="009421F1" w:rsidP="009421F1">
      <w:pPr>
        <w:spacing w:before="100" w:beforeAutospacing="1"/>
        <w:jc w:val="both"/>
        <w:rPr>
          <w:b/>
          <w:lang w:eastAsia="en-GB"/>
        </w:rPr>
      </w:pPr>
      <w:r w:rsidRPr="00BB1B43">
        <w:rPr>
          <w:b/>
          <w:bCs/>
          <w:i/>
          <w:iCs/>
        </w:rPr>
        <w:t xml:space="preserve">Key words: </w:t>
      </w:r>
      <w:r w:rsidRPr="00BB1B43">
        <w:rPr>
          <w:b/>
          <w:lang w:eastAsia="en-GB"/>
        </w:rPr>
        <w:t>Chronic; Hepatitis B virus; Infection; Obstetrics; Rubella; Sero-markers; Susceptibility.</w:t>
      </w:r>
    </w:p>
    <w:p w:rsidR="009421F1" w:rsidRPr="00BB1B43" w:rsidRDefault="009421F1" w:rsidP="009421F1">
      <w:pPr>
        <w:pStyle w:val="Els-1storder-head"/>
        <w:keepNext w:val="0"/>
        <w:widowControl w:val="0"/>
        <w:spacing w:before="100" w:beforeAutospacing="1" w:after="100" w:afterAutospacing="1" w:line="360" w:lineRule="auto"/>
        <w:jc w:val="both"/>
      </w:pPr>
      <w:r w:rsidRPr="00BB1B43">
        <w:t xml:space="preserve">Introduction </w:t>
      </w:r>
    </w:p>
    <w:p w:rsidR="009421F1" w:rsidRPr="00BB1B43" w:rsidRDefault="009421F1" w:rsidP="009421F1">
      <w:pPr>
        <w:pStyle w:val="BodyText"/>
        <w:ind w:firstLine="0"/>
      </w:pPr>
      <w:r w:rsidRPr="00BB1B43">
        <w:rPr>
          <w:lang w:eastAsia="en-GB"/>
        </w:rPr>
        <w:t xml:space="preserve">Early detection of infections such as Human immunodeficiency virus (HIV), hepatitis B, syphilis and rubella in pregnancy can lead to health gains for both mother and child </w:t>
      </w:r>
      <w:r w:rsidRPr="00BB1B43">
        <w:t>[1] [2]</w:t>
      </w:r>
      <w:r w:rsidRPr="00BB1B43">
        <w:rPr>
          <w:lang w:eastAsia="en-GB"/>
        </w:rPr>
        <w:t xml:space="preserve">. Effective treatment and intervention can be offered to prevent onward transmission of HIV and hepatitis B </w:t>
      </w:r>
      <w:r w:rsidRPr="00BB1B43">
        <w:t>[3]</w:t>
      </w:r>
      <w:r w:rsidRPr="00BB1B43">
        <w:rPr>
          <w:lang w:eastAsia="en-GB"/>
        </w:rPr>
        <w:t xml:space="preserve"> </w:t>
      </w:r>
      <w:r w:rsidRPr="00BB1B43">
        <w:t>[4]</w:t>
      </w:r>
      <w:r w:rsidRPr="00BB1B43">
        <w:rPr>
          <w:lang w:eastAsia="en-GB"/>
        </w:rPr>
        <w:t xml:space="preserve"> and reduce the risk of congenital infectious diseases </w:t>
      </w:r>
      <w:r w:rsidRPr="00BB1B43">
        <w:t>[2]</w:t>
      </w:r>
      <w:r w:rsidRPr="00BB1B43">
        <w:rPr>
          <w:lang w:eastAsia="en-GB"/>
        </w:rPr>
        <w:t xml:space="preserve">. </w:t>
      </w:r>
    </w:p>
    <w:p w:rsidR="009421F1" w:rsidRPr="00BB1B43" w:rsidRDefault="009421F1" w:rsidP="009421F1">
      <w:pPr>
        <w:pStyle w:val="Els-1storder-head"/>
        <w:numPr>
          <w:ilvl w:val="0"/>
          <w:numId w:val="0"/>
        </w:numPr>
        <w:jc w:val="both"/>
        <w:rPr>
          <w:b w:val="0"/>
          <w:lang w:eastAsia="en-GB"/>
        </w:rPr>
      </w:pPr>
      <w:r w:rsidRPr="00BB1B43">
        <w:rPr>
          <w:b w:val="0"/>
          <w:lang w:eastAsia="en-GB"/>
        </w:rPr>
        <w:t>Hepatitis B virus</w:t>
      </w:r>
      <w:r w:rsidRPr="00556C55">
        <w:rPr>
          <w:b w:val="0"/>
          <w:lang w:eastAsia="en-GB"/>
        </w:rPr>
        <w:t xml:space="preserve"> </w:t>
      </w:r>
      <w:r>
        <w:rPr>
          <w:b w:val="0"/>
          <w:lang w:eastAsia="en-GB"/>
        </w:rPr>
        <w:t>(</w:t>
      </w:r>
      <w:r w:rsidRPr="00BB1B43">
        <w:rPr>
          <w:b w:val="0"/>
          <w:lang w:eastAsia="en-GB"/>
        </w:rPr>
        <w:t>HBV</w:t>
      </w:r>
      <w:r>
        <w:rPr>
          <w:b w:val="0"/>
          <w:lang w:eastAsia="en-GB"/>
        </w:rPr>
        <w:t>)</w:t>
      </w:r>
      <w:r w:rsidRPr="00BB1B43">
        <w:rPr>
          <w:b w:val="0"/>
          <w:lang w:eastAsia="en-GB"/>
        </w:rPr>
        <w:t xml:space="preserve"> is a DNA virus causing hepatitis in humans. It accounts for 400 million chronic infections worldwide</w:t>
      </w:r>
      <w:r w:rsidRPr="00BB1B43">
        <w:rPr>
          <w:b w:val="0"/>
        </w:rPr>
        <w:t xml:space="preserve"> [5]</w:t>
      </w:r>
      <w:r w:rsidRPr="00BB1B43">
        <w:rPr>
          <w:b w:val="0"/>
          <w:lang w:eastAsia="en-GB"/>
        </w:rPr>
        <w:t xml:space="preserve"> and is hyperendemic in sub-Saharan Africa and Asia </w:t>
      </w:r>
      <w:r w:rsidRPr="00BB1B43">
        <w:rPr>
          <w:b w:val="0"/>
        </w:rPr>
        <w:t>[6] [7]</w:t>
      </w:r>
      <w:r w:rsidRPr="00BB1B43">
        <w:rPr>
          <w:b w:val="0"/>
          <w:lang w:eastAsia="en-GB"/>
        </w:rPr>
        <w:t xml:space="preserve">. It is thought to be the main etiological factor in over 75% of chronic liver diseases </w:t>
      </w:r>
      <w:r w:rsidRPr="00BB1B43">
        <w:rPr>
          <w:b w:val="0"/>
        </w:rPr>
        <w:t>[7].</w:t>
      </w:r>
      <w:r w:rsidRPr="00BB1B43">
        <w:rPr>
          <w:b w:val="0"/>
          <w:lang w:eastAsia="en-GB"/>
        </w:rPr>
        <w:t xml:space="preserve"> Transmission of HBV res</w:t>
      </w:r>
      <w:r>
        <w:rPr>
          <w:b w:val="0"/>
          <w:lang w:eastAsia="en-GB"/>
        </w:rPr>
        <w:t>ults from exposure to infected</w:t>
      </w:r>
      <w:r w:rsidRPr="00BB1B43">
        <w:rPr>
          <w:b w:val="0"/>
          <w:lang w:eastAsia="en-GB"/>
        </w:rPr>
        <w:t xml:space="preserve"> blood or body fluids, unprotected sexual contact, blood transfusion, the use of contaminated needles and syringes, and vertical transmission (</w:t>
      </w:r>
      <w:r>
        <w:rPr>
          <w:b w:val="0"/>
          <w:lang w:eastAsia="en-GB"/>
        </w:rPr>
        <w:t>from mother</w:t>
      </w:r>
      <w:r w:rsidRPr="00BB1B43">
        <w:rPr>
          <w:b w:val="0"/>
          <w:lang w:eastAsia="en-GB"/>
        </w:rPr>
        <w:t xml:space="preserve"> to child) </w:t>
      </w:r>
      <w:r w:rsidRPr="00BB1B43">
        <w:rPr>
          <w:b w:val="0"/>
        </w:rPr>
        <w:t>[8]</w:t>
      </w:r>
      <w:r w:rsidRPr="00BB1B43">
        <w:rPr>
          <w:b w:val="0"/>
          <w:lang w:eastAsia="en-GB"/>
        </w:rPr>
        <w:t xml:space="preserve">. The risk of Peri-natal infection among infants born to HBeAg-negative mothers ranges from 10% to 40%, with 40%-70% of these infected remain chronically infected </w:t>
      </w:r>
      <w:r w:rsidRPr="00BB1B43">
        <w:rPr>
          <w:b w:val="0"/>
        </w:rPr>
        <w:t>[9]</w:t>
      </w:r>
      <w:r w:rsidRPr="00BB1B43">
        <w:rPr>
          <w:b w:val="0"/>
          <w:lang w:eastAsia="en-GB"/>
        </w:rPr>
        <w:t xml:space="preserve">. Children born to HBsAg-positive mothers who do not become infected during the Peri-natal period remain at a high risk of infection during early childhood. HBV-related liver diseases or hepatocellular carcinoma (HCC) are responsible for over a million deaths per </w:t>
      </w:r>
      <w:r w:rsidRPr="00BB1B43">
        <w:rPr>
          <w:b w:val="0"/>
          <w:lang w:eastAsia="en-GB"/>
        </w:rPr>
        <w:lastRenderedPageBreak/>
        <w:t xml:space="preserve">year and represent 5-10% cases of liver transplantation </w:t>
      </w:r>
      <w:r w:rsidRPr="00BB1B43">
        <w:rPr>
          <w:b w:val="0"/>
        </w:rPr>
        <w:t>[10]</w:t>
      </w:r>
      <w:r w:rsidRPr="00BB1B43">
        <w:rPr>
          <w:b w:val="0"/>
          <w:lang w:eastAsia="en-GB"/>
        </w:rPr>
        <w:t xml:space="preserve"> </w:t>
      </w:r>
      <w:r w:rsidRPr="00BB1B43">
        <w:rPr>
          <w:b w:val="0"/>
        </w:rPr>
        <w:t>[11]</w:t>
      </w:r>
      <w:r w:rsidRPr="00BB1B43">
        <w:rPr>
          <w:b w:val="0"/>
          <w:lang w:eastAsia="en-GB"/>
        </w:rPr>
        <w:t xml:space="preserve">. HCC is one of the most common cancers worldwide, HBV being responsible for at least 75% occurrences </w:t>
      </w:r>
      <w:r w:rsidRPr="00BB1B43">
        <w:rPr>
          <w:b w:val="0"/>
        </w:rPr>
        <w:t>[9]</w:t>
      </w:r>
      <w:r w:rsidRPr="00BB1B43">
        <w:rPr>
          <w:b w:val="0"/>
          <w:lang w:eastAsia="en-GB"/>
        </w:rPr>
        <w:t>.</w:t>
      </w:r>
    </w:p>
    <w:p w:rsidR="009421F1" w:rsidRPr="00BB1B43" w:rsidRDefault="009421F1" w:rsidP="009421F1">
      <w:pPr>
        <w:spacing w:before="100" w:beforeAutospacing="1"/>
        <w:jc w:val="both"/>
        <w:rPr>
          <w:lang w:eastAsia="en-GB"/>
        </w:rPr>
      </w:pPr>
      <w:r w:rsidRPr="00BB1B43">
        <w:rPr>
          <w:lang w:eastAsia="en-GB"/>
        </w:rPr>
        <w:t xml:space="preserve">Testing for HBV infection in pregnancy has been of importance in respect of morbidity and mortality of the host (pregnant women), likewise its effect on the process of parturition, and the risk of vertical transmission </w:t>
      </w:r>
      <w:r w:rsidRPr="00BB1B43">
        <w:t>[12]</w:t>
      </w:r>
      <w:r w:rsidRPr="00BB1B43">
        <w:rPr>
          <w:lang w:eastAsia="en-GB"/>
        </w:rPr>
        <w:t xml:space="preserve">. The contaminated new-born most often remains a chronic carrier with the consequences of liver cirrhosis, and HCC. Mother-to-child transmission can be avoided by vaccination of the newborn </w:t>
      </w:r>
      <w:r w:rsidRPr="00BB1B43">
        <w:t>[12]</w:t>
      </w:r>
      <w:r w:rsidRPr="00BB1B43">
        <w:rPr>
          <w:lang w:eastAsia="en-GB"/>
        </w:rPr>
        <w:t>. This intervention to stop vertical transmission can only be applied when the status of the pregnant woman is known.</w:t>
      </w:r>
    </w:p>
    <w:p w:rsidR="009421F1" w:rsidRPr="00BB1B43" w:rsidRDefault="009421F1" w:rsidP="009421F1">
      <w:pPr>
        <w:spacing w:before="100" w:beforeAutospacing="1"/>
        <w:jc w:val="both"/>
        <w:rPr>
          <w:lang w:eastAsia="en-GB"/>
        </w:rPr>
      </w:pPr>
      <w:r w:rsidRPr="00BB1B43">
        <w:rPr>
          <w:lang w:eastAsia="en-GB"/>
        </w:rPr>
        <w:t xml:space="preserve"> Rubella, c</w:t>
      </w:r>
      <w:r>
        <w:rPr>
          <w:lang w:eastAsia="en-GB"/>
        </w:rPr>
        <w:t>ommonly known as German measles</w:t>
      </w:r>
      <w:r w:rsidRPr="00BB1B43">
        <w:rPr>
          <w:lang w:eastAsia="en-GB"/>
        </w:rPr>
        <w:t xml:space="preserve"> is a disease caused by the rubella virus. The name “rubella” is derived from the La</w:t>
      </w:r>
      <w:r>
        <w:rPr>
          <w:lang w:eastAsia="en-GB"/>
        </w:rPr>
        <w:t>tin, meaning little red. It</w:t>
      </w:r>
      <w:r w:rsidRPr="00BB1B43">
        <w:rPr>
          <w:lang w:eastAsia="en-GB"/>
        </w:rPr>
        <w:t xml:space="preserve"> is generally a mild illness and serious complications are rare. However, primary maternal rubella virus infection during the first trimester of pregnancy carries a high risk for the development of congenital rubella syndrome (CRS) with characteristic malformations of the heart, eye and ear or even death of the fetus. </w:t>
      </w:r>
      <w:r w:rsidRPr="00BB1B43">
        <w:t xml:space="preserve"> As of December 2012, a total of 132 (68%) WHO member states had introduced</w:t>
      </w:r>
      <w:r>
        <w:t xml:space="preserve"> rubella-containing vaccine (RCV),</w:t>
      </w:r>
      <w:r w:rsidRPr="00BB1B43">
        <w:t xml:space="preserve"> a 33% increase from 99 member states in 2000. A total of 94,030 rubella cases were reported to WHO in 2012 from 174 member states, an 86% decrease from the 670,894 cases reported in 2000 from 102 member states [13]. </w:t>
      </w:r>
      <w:r w:rsidRPr="00BB1B43">
        <w:rPr>
          <w:lang w:eastAsia="en-GB"/>
        </w:rPr>
        <w:t>In Nigeria, previous</w:t>
      </w:r>
      <w:r>
        <w:rPr>
          <w:lang w:eastAsia="en-GB"/>
        </w:rPr>
        <w:t xml:space="preserve"> studies on pregnant women revealed</w:t>
      </w:r>
      <w:r w:rsidRPr="00BB1B43">
        <w:rPr>
          <w:lang w:eastAsia="en-GB"/>
        </w:rPr>
        <w:t xml:space="preserve"> rubella IgG prevalence of 68.50% in Ibadan </w:t>
      </w:r>
      <w:r w:rsidRPr="00BB1B43">
        <w:t>[14]</w:t>
      </w:r>
      <w:r w:rsidRPr="00BB1B43">
        <w:rPr>
          <w:lang w:eastAsia="en-GB"/>
        </w:rPr>
        <w:t xml:space="preserve">, 54.10% in Maiduguri </w:t>
      </w:r>
      <w:r w:rsidRPr="00BB1B43">
        <w:t>[15]</w:t>
      </w:r>
      <w:r w:rsidRPr="00BB1B43">
        <w:rPr>
          <w:lang w:eastAsia="en-GB"/>
        </w:rPr>
        <w:t xml:space="preserve"> and 76.00% in Lagos </w:t>
      </w:r>
      <w:r w:rsidRPr="00BB1B43">
        <w:t>[16]</w:t>
      </w:r>
      <w:r w:rsidRPr="00BB1B43">
        <w:rPr>
          <w:lang w:eastAsia="en-GB"/>
        </w:rPr>
        <w:t>. In western Nigeria,</w:t>
      </w:r>
      <w:r w:rsidRPr="00BB1B43">
        <w:t xml:space="preserve"> [17]</w:t>
      </w:r>
      <w:r w:rsidRPr="00BB1B43">
        <w:rPr>
          <w:lang w:eastAsia="en-GB"/>
        </w:rPr>
        <w:t xml:space="preserve"> showed that an average of 68.00% of the Nigerian population possessed rubella antibody </w:t>
      </w:r>
      <w:r w:rsidRPr="00BB1B43">
        <w:t>[18]</w:t>
      </w:r>
      <w:r w:rsidRPr="00BB1B43">
        <w:rPr>
          <w:lang w:eastAsia="en-GB"/>
        </w:rPr>
        <w:t>. Therefo</w:t>
      </w:r>
      <w:r>
        <w:rPr>
          <w:lang w:eastAsia="en-GB"/>
        </w:rPr>
        <w:t>re on the average,</w:t>
      </w:r>
      <w:r w:rsidRPr="00BB1B43">
        <w:rPr>
          <w:lang w:eastAsia="en-GB"/>
        </w:rPr>
        <w:t xml:space="preserve"> 66.20% of pregnant women in Nigeria are already immune to rubella infection probably due to subclinical</w:t>
      </w:r>
      <w:r>
        <w:rPr>
          <w:lang w:eastAsia="en-GB"/>
        </w:rPr>
        <w:t xml:space="preserve"> or clinical exposure to the</w:t>
      </w:r>
      <w:r w:rsidRPr="00BB1B43">
        <w:rPr>
          <w:lang w:eastAsia="en-GB"/>
        </w:rPr>
        <w:t xml:space="preserve"> virus as there is no policy for immuni</w:t>
      </w:r>
      <w:r>
        <w:rPr>
          <w:lang w:eastAsia="en-GB"/>
        </w:rPr>
        <w:t>zation against it</w:t>
      </w:r>
      <w:r w:rsidRPr="00BB1B43">
        <w:rPr>
          <w:lang w:eastAsia="en-GB"/>
        </w:rPr>
        <w:t xml:space="preserve"> and there is a 33.80% susceptible population </w:t>
      </w:r>
      <w:r w:rsidRPr="00BB1B43">
        <w:t>[18]</w:t>
      </w:r>
      <w:r w:rsidRPr="00BB1B43">
        <w:rPr>
          <w:lang w:eastAsia="en-GB"/>
        </w:rPr>
        <w:t xml:space="preserve">. To prevent prenatal HBV infection and future cases of CRS, the advisory committee on immunization practices, the American Academy of paediatrics (AAP) and American college of obstetrics and Gynecology recommended routine prenatal screening to identify women who carry the hepatitis B surface antigen (HBsAg) and rubella IgG and post-partum vaccination of women who lack evidence of rubella immunity </w:t>
      </w:r>
      <w:r w:rsidRPr="00BB1B43">
        <w:t>[19] [20] [55].</w:t>
      </w:r>
      <w:r w:rsidRPr="00BB1B43">
        <w:rPr>
          <w:lang w:eastAsia="en-GB"/>
        </w:rPr>
        <w:t>    </w:t>
      </w:r>
    </w:p>
    <w:p w:rsidR="009421F1" w:rsidRPr="00BB1B43" w:rsidRDefault="009421F1" w:rsidP="009421F1">
      <w:pPr>
        <w:pStyle w:val="Els-body-text"/>
        <w:keepNext w:val="0"/>
        <w:widowControl w:val="0"/>
        <w:spacing w:line="360" w:lineRule="auto"/>
        <w:ind w:firstLine="0"/>
      </w:pPr>
      <w:r w:rsidRPr="00BB1B43">
        <w:t>------------------------------------------------------------------------</w:t>
      </w:r>
    </w:p>
    <w:p w:rsidR="009421F1" w:rsidRPr="00BB1B43" w:rsidRDefault="009421F1" w:rsidP="009421F1">
      <w:pPr>
        <w:pStyle w:val="Els-footnote"/>
        <w:spacing w:line="360" w:lineRule="auto"/>
        <w:ind w:firstLine="0"/>
      </w:pPr>
      <w:r>
        <w:t>* Corresponding author:</w:t>
      </w:r>
      <w:r w:rsidRPr="00BB1B43">
        <w:t xml:space="preserve"> Koki Y.A</w:t>
      </w:r>
    </w:p>
    <w:p w:rsidR="009421F1" w:rsidRPr="00BB1B43" w:rsidRDefault="009421F1" w:rsidP="009421F1">
      <w:pPr>
        <w:pStyle w:val="Els-body-text"/>
        <w:keepNext w:val="0"/>
        <w:widowControl w:val="0"/>
        <w:spacing w:line="360" w:lineRule="auto"/>
        <w:ind w:firstLine="0"/>
        <w:rPr>
          <w:sz w:val="16"/>
        </w:rPr>
      </w:pPr>
      <w:r w:rsidRPr="00BB1B43">
        <w:rPr>
          <w:sz w:val="16"/>
        </w:rPr>
        <w:t>E-mail address:</w:t>
      </w:r>
      <w:r w:rsidRPr="00BB1B43">
        <w:t xml:space="preserve"> </w:t>
      </w:r>
      <w:hyperlink r:id="rId7" w:tgtFrame="_blank" w:history="1">
        <w:r w:rsidRPr="00BB1B43">
          <w:rPr>
            <w:u w:val="single"/>
          </w:rPr>
          <w:t>abdullahiykoki77@gmail.com</w:t>
        </w:r>
      </w:hyperlink>
    </w:p>
    <w:p w:rsidR="009421F1" w:rsidRPr="00BB1B43" w:rsidRDefault="009421F1" w:rsidP="009421F1">
      <w:pPr>
        <w:pStyle w:val="Els-1storder-head"/>
        <w:numPr>
          <w:ilvl w:val="1"/>
          <w:numId w:val="9"/>
        </w:numPr>
        <w:jc w:val="both"/>
        <w:rPr>
          <w:lang w:eastAsia="en-GB"/>
        </w:rPr>
      </w:pPr>
      <w:r w:rsidRPr="00BB1B43">
        <w:rPr>
          <w:lang w:eastAsia="en-GB"/>
        </w:rPr>
        <w:lastRenderedPageBreak/>
        <w:t>Materials and Methods</w:t>
      </w:r>
    </w:p>
    <w:p w:rsidR="009421F1" w:rsidRPr="00BB1B43" w:rsidRDefault="009421F1" w:rsidP="009421F1">
      <w:pPr>
        <w:pStyle w:val="Els-1storder-head"/>
        <w:numPr>
          <w:ilvl w:val="1"/>
          <w:numId w:val="9"/>
        </w:numPr>
        <w:jc w:val="both"/>
        <w:rPr>
          <w:i/>
          <w:lang w:eastAsia="en-GB"/>
        </w:rPr>
      </w:pPr>
      <w:r w:rsidRPr="00BB1B43">
        <w:rPr>
          <w:i/>
          <w:lang w:eastAsia="en-GB"/>
        </w:rPr>
        <w:t xml:space="preserve">Study area  </w:t>
      </w:r>
    </w:p>
    <w:p w:rsidR="009421F1" w:rsidRPr="00BB1B43" w:rsidRDefault="009421F1" w:rsidP="009421F1">
      <w:pPr>
        <w:pStyle w:val="Els-1storder-head"/>
        <w:numPr>
          <w:ilvl w:val="0"/>
          <w:numId w:val="0"/>
        </w:numPr>
        <w:jc w:val="both"/>
        <w:rPr>
          <w:b w:val="0"/>
          <w:lang w:eastAsia="en-GB"/>
        </w:rPr>
      </w:pPr>
      <w:r w:rsidRPr="00BB1B43">
        <w:rPr>
          <w:b w:val="0"/>
          <w:lang w:eastAsia="en-GB"/>
        </w:rPr>
        <w:t xml:space="preserve">The </w:t>
      </w:r>
      <w:r>
        <w:rPr>
          <w:b w:val="0"/>
          <w:lang w:eastAsia="en-GB"/>
        </w:rPr>
        <w:t>investigation was carried out at</w:t>
      </w:r>
      <w:r w:rsidRPr="00BB1B43">
        <w:rPr>
          <w:b w:val="0"/>
          <w:lang w:eastAsia="en-GB"/>
        </w:rPr>
        <w:t xml:space="preserve"> antenatal clinic, Muhammad Abdullahi Wase Specialist Hospital Kano. It is one of the reference hospitals in the state where people from various parts of the state and neighboring states of various backgrounds attend.  </w:t>
      </w:r>
    </w:p>
    <w:p w:rsidR="009421F1" w:rsidRPr="00BB1B43" w:rsidRDefault="009421F1" w:rsidP="009421F1">
      <w:pPr>
        <w:pStyle w:val="Els-1storder-head"/>
        <w:numPr>
          <w:ilvl w:val="0"/>
          <w:numId w:val="0"/>
        </w:numPr>
        <w:jc w:val="both"/>
        <w:rPr>
          <w:b w:val="0"/>
          <w:i/>
          <w:lang w:eastAsia="en-GB"/>
        </w:rPr>
      </w:pPr>
      <w:r w:rsidRPr="00BB1B43">
        <w:rPr>
          <w:i/>
          <w:lang w:eastAsia="en-GB"/>
        </w:rPr>
        <w:t>2.2</w:t>
      </w:r>
      <w:r w:rsidRPr="00BB1B43">
        <w:rPr>
          <w:b w:val="0"/>
          <w:i/>
          <w:lang w:eastAsia="en-GB"/>
        </w:rPr>
        <w:t xml:space="preserve"> </w:t>
      </w:r>
      <w:r w:rsidRPr="00BB1B43">
        <w:rPr>
          <w:i/>
          <w:lang w:eastAsia="en-GB"/>
        </w:rPr>
        <w:t>Study Population</w:t>
      </w:r>
    </w:p>
    <w:p w:rsidR="009421F1" w:rsidRPr="00BB1B43" w:rsidRDefault="009421F1" w:rsidP="009421F1">
      <w:pPr>
        <w:pStyle w:val="Els-1storder-head"/>
        <w:numPr>
          <w:ilvl w:val="0"/>
          <w:numId w:val="0"/>
        </w:numPr>
        <w:jc w:val="both"/>
        <w:rPr>
          <w:lang w:eastAsia="en-GB"/>
        </w:rPr>
      </w:pPr>
      <w:r w:rsidRPr="00BB1B43">
        <w:rPr>
          <w:b w:val="0"/>
          <w:lang w:eastAsia="en-GB"/>
        </w:rPr>
        <w:t>A total of 288 pregnant women of homogenous sex</w:t>
      </w:r>
      <w:r>
        <w:rPr>
          <w:b w:val="0"/>
          <w:lang w:eastAsia="en-GB"/>
        </w:rPr>
        <w:t xml:space="preserve"> and</w:t>
      </w:r>
      <w:r w:rsidRPr="00BB1B43">
        <w:rPr>
          <w:b w:val="0"/>
          <w:lang w:eastAsia="en-GB"/>
        </w:rPr>
        <w:t xml:space="preserve"> of different age groups, ethnicities, educational and socio-economic</w:t>
      </w:r>
      <w:r>
        <w:rPr>
          <w:b w:val="0"/>
          <w:lang w:eastAsia="en-GB"/>
        </w:rPr>
        <w:t xml:space="preserve"> status, who filled the consent</w:t>
      </w:r>
      <w:r w:rsidRPr="00BB1B43">
        <w:rPr>
          <w:b w:val="0"/>
          <w:lang w:eastAsia="en-GB"/>
        </w:rPr>
        <w:t xml:space="preserve"> form</w:t>
      </w:r>
      <w:r>
        <w:rPr>
          <w:b w:val="0"/>
          <w:lang w:eastAsia="en-GB"/>
        </w:rPr>
        <w:t>s</w:t>
      </w:r>
      <w:r w:rsidRPr="00BB1B43">
        <w:rPr>
          <w:b w:val="0"/>
          <w:lang w:eastAsia="en-GB"/>
        </w:rPr>
        <w:t xml:space="preserve"> were recruited for this study using standard epidemiological formula. Thirty one control samples were used for comparism based on HBsAg</w:t>
      </w:r>
      <w:r>
        <w:rPr>
          <w:b w:val="0"/>
          <w:lang w:eastAsia="en-GB"/>
        </w:rPr>
        <w:t xml:space="preserve"> </w:t>
      </w:r>
      <w:r w:rsidRPr="00BB1B43">
        <w:rPr>
          <w:b w:val="0"/>
          <w:lang w:eastAsia="en-GB"/>
        </w:rPr>
        <w:t xml:space="preserve"> sero-positive cases</w:t>
      </w:r>
      <w:r w:rsidRPr="00BB1B43">
        <w:rPr>
          <w:lang w:eastAsia="en-GB"/>
        </w:rPr>
        <w:t>.</w:t>
      </w:r>
    </w:p>
    <w:p w:rsidR="009421F1" w:rsidRPr="00BB1B43" w:rsidRDefault="009421F1" w:rsidP="009421F1">
      <w:pPr>
        <w:pStyle w:val="Els-1storder-head"/>
        <w:numPr>
          <w:ilvl w:val="1"/>
          <w:numId w:val="10"/>
        </w:numPr>
        <w:jc w:val="both"/>
        <w:rPr>
          <w:i/>
          <w:lang w:eastAsia="en-GB"/>
        </w:rPr>
      </w:pPr>
      <w:r w:rsidRPr="00BB1B43">
        <w:rPr>
          <w:i/>
          <w:lang w:eastAsia="en-GB"/>
        </w:rPr>
        <w:t>Study Design</w:t>
      </w:r>
    </w:p>
    <w:p w:rsidR="009421F1" w:rsidRPr="00BB1B43" w:rsidRDefault="009421F1" w:rsidP="009421F1">
      <w:pPr>
        <w:pStyle w:val="Els-1storder-head"/>
        <w:numPr>
          <w:ilvl w:val="0"/>
          <w:numId w:val="0"/>
        </w:numPr>
        <w:jc w:val="both"/>
        <w:rPr>
          <w:b w:val="0"/>
          <w:lang w:eastAsia="en-GB"/>
        </w:rPr>
      </w:pPr>
      <w:r w:rsidRPr="00BB1B43">
        <w:rPr>
          <w:b w:val="0"/>
          <w:lang w:eastAsia="en-GB"/>
        </w:rPr>
        <w:t xml:space="preserve"> A descriptive study was used to design a cross-sectional (prevalence) survey which was carried out according to the ethical standard for human experimentation. An ethical clearance was obtained from Hospitals Management Board Kano State. </w:t>
      </w:r>
    </w:p>
    <w:p w:rsidR="009421F1" w:rsidRPr="00BB1B43" w:rsidRDefault="009421F1" w:rsidP="009421F1">
      <w:pPr>
        <w:pStyle w:val="Els-1storder-head"/>
        <w:numPr>
          <w:ilvl w:val="0"/>
          <w:numId w:val="0"/>
        </w:numPr>
        <w:jc w:val="both"/>
        <w:rPr>
          <w:i/>
          <w:lang w:eastAsia="en-GB"/>
        </w:rPr>
      </w:pPr>
      <w:r w:rsidRPr="00BB1B43">
        <w:rPr>
          <w:i/>
          <w:lang w:eastAsia="en-GB"/>
        </w:rPr>
        <w:t>2.4 Virological Examinations</w:t>
      </w:r>
    </w:p>
    <w:p w:rsidR="009421F1" w:rsidRPr="00BB1B43" w:rsidRDefault="009421F1" w:rsidP="009421F1">
      <w:pPr>
        <w:pStyle w:val="Els-1storder-head"/>
        <w:numPr>
          <w:ilvl w:val="0"/>
          <w:numId w:val="0"/>
        </w:numPr>
        <w:jc w:val="both"/>
        <w:rPr>
          <w:lang w:eastAsia="en-GB"/>
        </w:rPr>
      </w:pPr>
      <w:r w:rsidRPr="00BB1B43">
        <w:rPr>
          <w:i/>
          <w:lang w:eastAsia="en-GB"/>
        </w:rPr>
        <w:t>2.4.1 Screening for Hepatitis B surface Antigen (HBsAg</w:t>
      </w:r>
      <w:r w:rsidRPr="00BB1B43">
        <w:rPr>
          <w:lang w:eastAsia="en-GB"/>
        </w:rPr>
        <w:t xml:space="preserve">) </w:t>
      </w:r>
    </w:p>
    <w:p w:rsidR="009421F1" w:rsidRPr="00BB1B43" w:rsidRDefault="009421F1" w:rsidP="009421F1">
      <w:pPr>
        <w:pStyle w:val="Els-1storder-head"/>
        <w:numPr>
          <w:ilvl w:val="0"/>
          <w:numId w:val="0"/>
        </w:numPr>
        <w:ind w:left="90"/>
        <w:jc w:val="both"/>
        <w:rPr>
          <w:lang w:eastAsia="en-GB"/>
        </w:rPr>
      </w:pPr>
      <w:r w:rsidRPr="00BB1B43">
        <w:rPr>
          <w:b w:val="0"/>
          <w:lang w:eastAsia="en-GB"/>
        </w:rPr>
        <w:t>All the samples were tested for Hepatitis B surface antigen (HBsAg) using rapid chromatographic immunoassay for the qualitative detection of HBsAg. The test strip</w:t>
      </w:r>
      <w:r>
        <w:rPr>
          <w:b w:val="0"/>
          <w:lang w:eastAsia="en-GB"/>
        </w:rPr>
        <w:t>s and sera</w:t>
      </w:r>
      <w:r w:rsidRPr="00BB1B43">
        <w:rPr>
          <w:b w:val="0"/>
          <w:lang w:eastAsia="en-GB"/>
        </w:rPr>
        <w:t xml:space="preserve"> were allowed to equilibrate to room temperature (25-30</w:t>
      </w:r>
      <w:r w:rsidRPr="00BB1B43">
        <w:rPr>
          <w:b w:val="0"/>
          <w:vertAlign w:val="superscript"/>
          <w:lang w:eastAsia="en-GB"/>
        </w:rPr>
        <w:t>0</w:t>
      </w:r>
      <w:r w:rsidRPr="00BB1B43">
        <w:rPr>
          <w:b w:val="0"/>
          <w:lang w:eastAsia="en-GB"/>
        </w:rPr>
        <w:t>C) prior to testing</w:t>
      </w:r>
      <w:r w:rsidRPr="00BB1B43">
        <w:rPr>
          <w:lang w:eastAsia="en-GB"/>
        </w:rPr>
        <w:t>.</w:t>
      </w:r>
    </w:p>
    <w:p w:rsidR="009421F1" w:rsidRPr="00BB1B43" w:rsidRDefault="009421F1" w:rsidP="009421F1">
      <w:pPr>
        <w:pStyle w:val="Els-1storder-head"/>
        <w:numPr>
          <w:ilvl w:val="0"/>
          <w:numId w:val="17"/>
        </w:numPr>
        <w:jc w:val="both"/>
        <w:rPr>
          <w:b w:val="0"/>
          <w:i/>
          <w:lang w:eastAsia="en-GB"/>
        </w:rPr>
      </w:pPr>
      <w:r w:rsidRPr="00BB1B43">
        <w:rPr>
          <w:i/>
          <w:lang w:eastAsia="en-GB"/>
        </w:rPr>
        <w:t>Procedure</w:t>
      </w:r>
    </w:p>
    <w:p w:rsidR="009421F1" w:rsidRPr="00BB1B43" w:rsidRDefault="009421F1" w:rsidP="009421F1">
      <w:pPr>
        <w:pStyle w:val="Els-1storder-head"/>
        <w:numPr>
          <w:ilvl w:val="0"/>
          <w:numId w:val="0"/>
        </w:numPr>
        <w:ind w:left="90"/>
        <w:jc w:val="both"/>
        <w:rPr>
          <w:b w:val="0"/>
          <w:lang w:eastAsia="en-GB"/>
        </w:rPr>
      </w:pPr>
      <w:r w:rsidRPr="00BB1B43">
        <w:rPr>
          <w:b w:val="0"/>
          <w:lang w:eastAsia="en-GB"/>
        </w:rPr>
        <w:t xml:space="preserve">The test strip contains anti HBsAg particles and anti – HBsAg coated on the   membrane. The tape from the test card was peeled off and the test strip was stocked in the middle of test card with arrows pointing down on the test card. The dropper was held vertically and </w:t>
      </w:r>
      <w:r>
        <w:rPr>
          <w:b w:val="0"/>
          <w:lang w:eastAsia="en-GB"/>
        </w:rPr>
        <w:t>3 drops of the serum (75µL) was</w:t>
      </w:r>
      <w:r w:rsidRPr="00BB1B43">
        <w:rPr>
          <w:b w:val="0"/>
          <w:lang w:eastAsia="en-GB"/>
        </w:rPr>
        <w:t xml:space="preserve"> transferred onto the “specimen pad” of the test strip. A drop of buffer (40µL) was added and the appearance of the colored line(s) was observed within 15 minutes </w:t>
      </w:r>
      <w:r w:rsidRPr="00BB1B43">
        <w:t>[</w:t>
      </w:r>
      <w:r w:rsidRPr="00BB1B43">
        <w:rPr>
          <w:b w:val="0"/>
        </w:rPr>
        <w:t>21</w:t>
      </w:r>
      <w:r w:rsidRPr="00BB1B43">
        <w:t>]</w:t>
      </w:r>
      <w:r w:rsidRPr="00BB1B43">
        <w:rPr>
          <w:b w:val="0"/>
          <w:lang w:eastAsia="en-GB"/>
        </w:rPr>
        <w:t xml:space="preserve">.  </w:t>
      </w:r>
    </w:p>
    <w:p w:rsidR="009421F1" w:rsidRPr="00BB1B43" w:rsidRDefault="009421F1" w:rsidP="009421F1">
      <w:pPr>
        <w:pStyle w:val="Els-1storder-head"/>
        <w:numPr>
          <w:ilvl w:val="0"/>
          <w:numId w:val="0"/>
        </w:numPr>
        <w:jc w:val="both"/>
        <w:rPr>
          <w:i/>
          <w:lang w:eastAsia="en-GB"/>
        </w:rPr>
      </w:pPr>
      <w:r w:rsidRPr="00BB1B43">
        <w:rPr>
          <w:i/>
          <w:lang w:eastAsia="en-GB"/>
        </w:rPr>
        <w:t xml:space="preserve">2.4.2 Test for Serological Markers </w:t>
      </w:r>
    </w:p>
    <w:p w:rsidR="009421F1" w:rsidRPr="00BB1B43" w:rsidRDefault="009421F1" w:rsidP="009421F1">
      <w:pPr>
        <w:pStyle w:val="Els-1storder-head"/>
        <w:numPr>
          <w:ilvl w:val="0"/>
          <w:numId w:val="0"/>
        </w:numPr>
        <w:ind w:left="90"/>
        <w:jc w:val="both"/>
        <w:rPr>
          <w:lang w:eastAsia="en-GB"/>
        </w:rPr>
      </w:pPr>
      <w:r w:rsidRPr="00BB1B43">
        <w:rPr>
          <w:b w:val="0"/>
          <w:lang w:eastAsia="en-GB"/>
        </w:rPr>
        <w:t>The one step cassette style HBV test (combo) is rapid test based on the principle</w:t>
      </w:r>
      <w:r>
        <w:rPr>
          <w:b w:val="0"/>
          <w:lang w:eastAsia="en-GB"/>
        </w:rPr>
        <w:t xml:space="preserve"> of</w:t>
      </w:r>
      <w:r w:rsidRPr="00BB1B43">
        <w:rPr>
          <w:b w:val="0"/>
          <w:lang w:eastAsia="en-GB"/>
        </w:rPr>
        <w:t xml:space="preserve"> immunoassay combined colloid gold technology. The HBV test is a diagnostic device to detect the 5 markers (HBsAg, HBeAg, anti-HBe, anti-HBc and anti-HBs) associated with Hepatitis B virus infection</w:t>
      </w:r>
      <w:r w:rsidRPr="00BB1B43">
        <w:rPr>
          <w:lang w:eastAsia="en-GB"/>
        </w:rPr>
        <w:t xml:space="preserve">. </w:t>
      </w:r>
    </w:p>
    <w:p w:rsidR="009421F1" w:rsidRPr="00BB1B43" w:rsidRDefault="009421F1" w:rsidP="009421F1">
      <w:pPr>
        <w:pStyle w:val="Els-1storder-head"/>
        <w:numPr>
          <w:ilvl w:val="0"/>
          <w:numId w:val="16"/>
        </w:numPr>
        <w:jc w:val="both"/>
        <w:rPr>
          <w:i/>
          <w:lang w:eastAsia="en-GB"/>
        </w:rPr>
      </w:pPr>
      <w:r w:rsidRPr="00BB1B43">
        <w:rPr>
          <w:i/>
          <w:lang w:eastAsia="en-GB"/>
        </w:rPr>
        <w:t>Procedure</w:t>
      </w:r>
    </w:p>
    <w:p w:rsidR="009421F1" w:rsidRPr="00BB1B43" w:rsidRDefault="009421F1" w:rsidP="009421F1">
      <w:pPr>
        <w:pStyle w:val="Els-1storder-head"/>
        <w:numPr>
          <w:ilvl w:val="0"/>
          <w:numId w:val="0"/>
        </w:numPr>
        <w:ind w:left="90"/>
        <w:jc w:val="both"/>
        <w:rPr>
          <w:b w:val="0"/>
          <w:lang w:eastAsia="en-GB"/>
        </w:rPr>
      </w:pPr>
      <w:r w:rsidRPr="00BB1B43">
        <w:rPr>
          <w:b w:val="0"/>
          <w:lang w:eastAsia="en-GB"/>
        </w:rPr>
        <w:t>The test kit wa</w:t>
      </w:r>
      <w:r>
        <w:rPr>
          <w:b w:val="0"/>
          <w:lang w:eastAsia="en-GB"/>
        </w:rPr>
        <w:t>s removed from the pouch and</w:t>
      </w:r>
      <w:r w:rsidRPr="00BB1B43">
        <w:rPr>
          <w:b w:val="0"/>
          <w:lang w:eastAsia="en-GB"/>
        </w:rPr>
        <w:t xml:space="preserve"> placed horizontally on</w:t>
      </w:r>
      <w:r>
        <w:rPr>
          <w:b w:val="0"/>
          <w:lang w:eastAsia="en-GB"/>
        </w:rPr>
        <w:t xml:space="preserve"> a</w:t>
      </w:r>
      <w:r w:rsidRPr="00BB1B43">
        <w:rPr>
          <w:b w:val="0"/>
          <w:lang w:eastAsia="en-GB"/>
        </w:rPr>
        <w:t xml:space="preserve"> desk. Thre</w:t>
      </w:r>
      <w:r>
        <w:rPr>
          <w:b w:val="0"/>
          <w:lang w:eastAsia="en-GB"/>
        </w:rPr>
        <w:t>e drops of the serum sample was</w:t>
      </w:r>
      <w:r w:rsidRPr="00BB1B43">
        <w:rPr>
          <w:b w:val="0"/>
          <w:lang w:eastAsia="en-GB"/>
        </w:rPr>
        <w:t xml:space="preserve"> added into each well marked 1-</w:t>
      </w:r>
      <w:r>
        <w:rPr>
          <w:b w:val="0"/>
          <w:lang w:eastAsia="en-GB"/>
        </w:rPr>
        <w:t>5 and three drops of buffer was also</w:t>
      </w:r>
      <w:r w:rsidRPr="00BB1B43">
        <w:rPr>
          <w:b w:val="0"/>
          <w:lang w:eastAsia="en-GB"/>
        </w:rPr>
        <w:t xml:space="preserve"> added in each well. The results were read after 15 minutes </w:t>
      </w:r>
      <w:r w:rsidRPr="00BB1B43">
        <w:t>[</w:t>
      </w:r>
      <w:r w:rsidRPr="00BB1B43">
        <w:rPr>
          <w:b w:val="0"/>
        </w:rPr>
        <w:t>21</w:t>
      </w:r>
      <w:r w:rsidRPr="00BB1B43">
        <w:t>]</w:t>
      </w:r>
      <w:r w:rsidRPr="00BB1B43">
        <w:rPr>
          <w:b w:val="0"/>
          <w:lang w:eastAsia="en-GB"/>
        </w:rPr>
        <w:t xml:space="preserve">.  </w:t>
      </w:r>
    </w:p>
    <w:p w:rsidR="009421F1" w:rsidRPr="00BB1B43" w:rsidRDefault="009421F1" w:rsidP="009421F1">
      <w:pPr>
        <w:pStyle w:val="Els-1storder-head"/>
        <w:numPr>
          <w:ilvl w:val="0"/>
          <w:numId w:val="0"/>
        </w:numPr>
        <w:ind w:left="90"/>
        <w:jc w:val="both"/>
        <w:rPr>
          <w:i/>
          <w:lang w:eastAsia="en-GB"/>
        </w:rPr>
      </w:pPr>
      <w:r w:rsidRPr="00BB1B43">
        <w:rPr>
          <w:i/>
          <w:lang w:eastAsia="en-GB"/>
        </w:rPr>
        <w:t xml:space="preserve">2.5 Biochemical Analysis            </w:t>
      </w:r>
    </w:p>
    <w:p w:rsidR="009421F1" w:rsidRPr="00BB1B43" w:rsidRDefault="009421F1" w:rsidP="009421F1">
      <w:pPr>
        <w:pStyle w:val="Els-1storder-head"/>
        <w:numPr>
          <w:ilvl w:val="0"/>
          <w:numId w:val="0"/>
        </w:numPr>
        <w:jc w:val="both"/>
        <w:rPr>
          <w:i/>
          <w:lang w:eastAsia="en-GB"/>
        </w:rPr>
      </w:pPr>
      <w:r w:rsidRPr="00BB1B43">
        <w:rPr>
          <w:i/>
          <w:lang w:eastAsia="en-GB"/>
        </w:rPr>
        <w:t>2.5.1 Alanine Amino Transferase (A</w:t>
      </w:r>
      <w:r>
        <w:rPr>
          <w:i/>
          <w:lang w:eastAsia="en-GB"/>
        </w:rPr>
        <w:t>LT)</w:t>
      </w:r>
      <w:r w:rsidRPr="00BB1B43">
        <w:rPr>
          <w:i/>
          <w:lang w:eastAsia="en-GB"/>
        </w:rPr>
        <w:t xml:space="preserve">            </w:t>
      </w:r>
    </w:p>
    <w:p w:rsidR="009421F1" w:rsidRPr="00BB1B43" w:rsidRDefault="009421F1" w:rsidP="009421F1">
      <w:pPr>
        <w:pStyle w:val="Els-1storder-head"/>
        <w:numPr>
          <w:ilvl w:val="0"/>
          <w:numId w:val="15"/>
        </w:numPr>
        <w:jc w:val="both"/>
        <w:rPr>
          <w:b w:val="0"/>
          <w:i/>
          <w:lang w:eastAsia="en-GB"/>
        </w:rPr>
      </w:pPr>
      <w:r w:rsidRPr="00BB1B43">
        <w:rPr>
          <w:i/>
          <w:lang w:eastAsia="en-GB"/>
        </w:rPr>
        <w:t xml:space="preserve">Procedure </w:t>
      </w:r>
    </w:p>
    <w:p w:rsidR="009421F1" w:rsidRPr="00BB1B43" w:rsidRDefault="009421F1" w:rsidP="009421F1">
      <w:pPr>
        <w:pStyle w:val="Els-1storder-head"/>
        <w:numPr>
          <w:ilvl w:val="0"/>
          <w:numId w:val="0"/>
        </w:numPr>
        <w:ind w:left="90"/>
        <w:jc w:val="both"/>
        <w:rPr>
          <w:b w:val="0"/>
          <w:lang w:eastAsia="en-GB"/>
        </w:rPr>
      </w:pPr>
      <w:r w:rsidRPr="00BB1B43">
        <w:rPr>
          <w:b w:val="0"/>
          <w:lang w:eastAsia="en-GB"/>
        </w:rPr>
        <w:lastRenderedPageBreak/>
        <w:t xml:space="preserve">About 0.1ml </w:t>
      </w:r>
      <w:r>
        <w:rPr>
          <w:b w:val="0"/>
          <w:lang w:eastAsia="en-GB"/>
        </w:rPr>
        <w:t xml:space="preserve">of </w:t>
      </w:r>
      <w:r w:rsidRPr="00BB1B43">
        <w:rPr>
          <w:b w:val="0"/>
          <w:lang w:eastAsia="en-GB"/>
        </w:rPr>
        <w:t>serum sample was placed in one tube (tube 1); another 0.1ml</w:t>
      </w:r>
      <w:r>
        <w:rPr>
          <w:b w:val="0"/>
          <w:lang w:eastAsia="en-GB"/>
        </w:rPr>
        <w:t xml:space="preserve"> </w:t>
      </w:r>
      <w:r w:rsidRPr="00BB1B43">
        <w:rPr>
          <w:b w:val="0"/>
          <w:lang w:eastAsia="en-GB"/>
        </w:rPr>
        <w:t>of standard solution was also added into a separate tube (tube 2). 0.5ml of phosphate buffer solution (R1) was then added to</w:t>
      </w:r>
    </w:p>
    <w:p w:rsidR="009421F1" w:rsidRPr="00BB1B43" w:rsidRDefault="009421F1" w:rsidP="009421F1">
      <w:pPr>
        <w:pStyle w:val="Els-1storder-head"/>
        <w:numPr>
          <w:ilvl w:val="0"/>
          <w:numId w:val="0"/>
        </w:numPr>
        <w:ind w:left="90"/>
        <w:jc w:val="both"/>
        <w:rPr>
          <w:b w:val="0"/>
          <w:lang w:eastAsia="en-GB"/>
        </w:rPr>
      </w:pPr>
      <w:r>
        <w:rPr>
          <w:b w:val="0"/>
          <w:lang w:eastAsia="en-GB"/>
        </w:rPr>
        <w:t>b</w:t>
      </w:r>
      <w:r w:rsidRPr="00BB1B43">
        <w:rPr>
          <w:b w:val="0"/>
          <w:lang w:eastAsia="en-GB"/>
        </w:rPr>
        <w:t>oth tube 1 and 2. Five milliliter (5.0ml) of 2, 4 – dinitrophenyl hydrazine solution (R2) was also added to both tube 1 and 2. The preparation was mixed and incubated for 30 minutes at 30</w:t>
      </w:r>
      <w:r>
        <w:rPr>
          <w:b w:val="0"/>
          <w:vertAlign w:val="superscript"/>
          <w:lang w:eastAsia="en-GB"/>
        </w:rPr>
        <w:t>o</w:t>
      </w:r>
      <w:r w:rsidRPr="00BB1B43">
        <w:rPr>
          <w:b w:val="0"/>
          <w:lang w:eastAsia="en-GB"/>
        </w:rPr>
        <w:t>C. 5.0ml of sodium hydroxide (NaOH) was added and incubated for exactly 20 minutes at 25</w:t>
      </w:r>
      <w:r>
        <w:rPr>
          <w:b w:val="0"/>
          <w:vertAlign w:val="superscript"/>
          <w:lang w:eastAsia="en-GB"/>
        </w:rPr>
        <w:t>o</w:t>
      </w:r>
      <w:r w:rsidRPr="00BB1B43">
        <w:rPr>
          <w:b w:val="0"/>
          <w:lang w:eastAsia="en-GB"/>
        </w:rPr>
        <w:t xml:space="preserve">C. Another 5.0ml of (NaOH) was added to both tubes. The preparation was mixed and read spectrophotometrically at 546nm wavelength </w:t>
      </w:r>
      <w:r w:rsidRPr="00BB1B43">
        <w:rPr>
          <w:b w:val="0"/>
        </w:rPr>
        <w:t>[22]</w:t>
      </w:r>
      <w:r>
        <w:rPr>
          <w:b w:val="0"/>
        </w:rPr>
        <w:t>.</w:t>
      </w:r>
    </w:p>
    <w:p w:rsidR="009421F1" w:rsidRPr="00BB1B43" w:rsidRDefault="009421F1" w:rsidP="009421F1">
      <w:pPr>
        <w:pStyle w:val="Els-1storder-head"/>
        <w:numPr>
          <w:ilvl w:val="0"/>
          <w:numId w:val="0"/>
        </w:numPr>
        <w:jc w:val="both"/>
        <w:rPr>
          <w:i/>
          <w:lang w:eastAsia="en-GB"/>
        </w:rPr>
      </w:pPr>
      <w:r w:rsidRPr="00BB1B43">
        <w:rPr>
          <w:lang w:eastAsia="en-GB"/>
        </w:rPr>
        <w:t xml:space="preserve">2.5.2 </w:t>
      </w:r>
      <w:r w:rsidRPr="00BB1B43">
        <w:rPr>
          <w:i/>
          <w:lang w:eastAsia="en-GB"/>
        </w:rPr>
        <w:t>Aspartate Aminostransferase (AST)</w:t>
      </w:r>
    </w:p>
    <w:p w:rsidR="009421F1" w:rsidRPr="00BB1B43" w:rsidRDefault="009421F1" w:rsidP="009421F1">
      <w:pPr>
        <w:pStyle w:val="Els-1storder-head"/>
        <w:numPr>
          <w:ilvl w:val="0"/>
          <w:numId w:val="14"/>
        </w:numPr>
        <w:jc w:val="both"/>
        <w:rPr>
          <w:i/>
          <w:lang w:eastAsia="en-GB"/>
        </w:rPr>
      </w:pPr>
      <w:r w:rsidRPr="00BB1B43">
        <w:rPr>
          <w:i/>
          <w:lang w:eastAsia="en-GB"/>
        </w:rPr>
        <w:t xml:space="preserve">Procedure </w:t>
      </w:r>
    </w:p>
    <w:p w:rsidR="009421F1" w:rsidRPr="00BB1B43" w:rsidRDefault="009421F1" w:rsidP="009421F1">
      <w:pPr>
        <w:pStyle w:val="Els-1storder-head"/>
        <w:numPr>
          <w:ilvl w:val="0"/>
          <w:numId w:val="0"/>
        </w:numPr>
        <w:ind w:left="90"/>
        <w:jc w:val="both"/>
        <w:rPr>
          <w:b w:val="0"/>
          <w:lang w:eastAsia="en-GB"/>
        </w:rPr>
      </w:pPr>
      <w:r w:rsidRPr="00BB1B43">
        <w:rPr>
          <w:b w:val="0"/>
          <w:lang w:eastAsia="en-GB"/>
        </w:rPr>
        <w:t>About 0.1ml of serum sample was placed in one tube</w:t>
      </w:r>
      <w:r>
        <w:rPr>
          <w:b w:val="0"/>
          <w:lang w:eastAsia="en-GB"/>
        </w:rPr>
        <w:t xml:space="preserve"> (tube 1);</w:t>
      </w:r>
      <w:r w:rsidRPr="00BB1B43">
        <w:rPr>
          <w:b w:val="0"/>
          <w:lang w:eastAsia="en-GB"/>
        </w:rPr>
        <w:t xml:space="preserve"> another 0.1ml</w:t>
      </w:r>
      <w:r>
        <w:rPr>
          <w:b w:val="0"/>
          <w:lang w:eastAsia="en-GB"/>
        </w:rPr>
        <w:t xml:space="preserve"> of standard solution was</w:t>
      </w:r>
      <w:r w:rsidRPr="00BB1B43">
        <w:rPr>
          <w:b w:val="0"/>
          <w:lang w:eastAsia="en-GB"/>
        </w:rPr>
        <w:t xml:space="preserve"> added into a separate tube (tube 2). 0.5ml of phosphate buffer solution (R1) was then added to both</w:t>
      </w:r>
      <w:r>
        <w:rPr>
          <w:b w:val="0"/>
          <w:lang w:eastAsia="en-GB"/>
        </w:rPr>
        <w:t xml:space="preserve"> tube 1 and 2. Then 5.0ml</w:t>
      </w:r>
      <w:r w:rsidRPr="00BB1B43">
        <w:rPr>
          <w:b w:val="0"/>
          <w:lang w:eastAsia="en-GB"/>
        </w:rPr>
        <w:t xml:space="preserve"> of 2, 4 – dinitrophenyl hydrazine solution (R2) was</w:t>
      </w:r>
      <w:r>
        <w:rPr>
          <w:b w:val="0"/>
          <w:lang w:eastAsia="en-GB"/>
        </w:rPr>
        <w:t xml:space="preserve"> added into the </w:t>
      </w:r>
      <w:r w:rsidRPr="00BB1B43">
        <w:rPr>
          <w:b w:val="0"/>
          <w:lang w:eastAsia="en-GB"/>
        </w:rPr>
        <w:t>tube</w:t>
      </w:r>
      <w:r>
        <w:rPr>
          <w:b w:val="0"/>
          <w:lang w:eastAsia="en-GB"/>
        </w:rPr>
        <w:t>s</w:t>
      </w:r>
      <w:r w:rsidRPr="00BB1B43">
        <w:rPr>
          <w:b w:val="0"/>
          <w:lang w:eastAsia="en-GB"/>
        </w:rPr>
        <w:t>. The preparation was mixed and incubated</w:t>
      </w:r>
      <w:r w:rsidRPr="00115811">
        <w:rPr>
          <w:b w:val="0"/>
          <w:lang w:eastAsia="en-GB"/>
        </w:rPr>
        <w:t xml:space="preserve"> </w:t>
      </w:r>
      <w:r w:rsidRPr="00BB1B43">
        <w:rPr>
          <w:b w:val="0"/>
          <w:lang w:eastAsia="en-GB"/>
        </w:rPr>
        <w:t>at 30</w:t>
      </w:r>
      <w:r>
        <w:rPr>
          <w:b w:val="0"/>
          <w:vertAlign w:val="superscript"/>
          <w:lang w:eastAsia="en-GB"/>
        </w:rPr>
        <w:t>o</w:t>
      </w:r>
      <w:r w:rsidRPr="00BB1B43">
        <w:rPr>
          <w:b w:val="0"/>
          <w:lang w:eastAsia="en-GB"/>
        </w:rPr>
        <w:t>C for 30 minutes.</w:t>
      </w:r>
      <w:r>
        <w:rPr>
          <w:b w:val="0"/>
          <w:lang w:eastAsia="en-GB"/>
        </w:rPr>
        <w:t xml:space="preserve"> Then</w:t>
      </w:r>
      <w:r w:rsidRPr="00BB1B43">
        <w:rPr>
          <w:b w:val="0"/>
          <w:lang w:eastAsia="en-GB"/>
        </w:rPr>
        <w:t xml:space="preserve"> 5.0ml of sodium hydroxide (NaOH) was</w:t>
      </w:r>
      <w:r>
        <w:rPr>
          <w:b w:val="0"/>
          <w:lang w:eastAsia="en-GB"/>
        </w:rPr>
        <w:t xml:space="preserve"> added and incubated</w:t>
      </w:r>
      <w:r w:rsidRPr="008D489E">
        <w:rPr>
          <w:b w:val="0"/>
          <w:lang w:eastAsia="en-GB"/>
        </w:rPr>
        <w:t xml:space="preserve"> </w:t>
      </w:r>
      <w:r w:rsidRPr="00BB1B43">
        <w:rPr>
          <w:b w:val="0"/>
          <w:lang w:eastAsia="en-GB"/>
        </w:rPr>
        <w:t>at 25</w:t>
      </w:r>
      <w:r>
        <w:rPr>
          <w:b w:val="0"/>
          <w:vertAlign w:val="superscript"/>
          <w:lang w:eastAsia="en-GB"/>
        </w:rPr>
        <w:t>o</w:t>
      </w:r>
      <w:r w:rsidRPr="00BB1B43">
        <w:rPr>
          <w:b w:val="0"/>
          <w:lang w:eastAsia="en-GB"/>
        </w:rPr>
        <w:t>C</w:t>
      </w:r>
      <w:r>
        <w:rPr>
          <w:b w:val="0"/>
          <w:lang w:eastAsia="en-GB"/>
        </w:rPr>
        <w:t xml:space="preserve"> for</w:t>
      </w:r>
      <w:r w:rsidRPr="00BB1B43">
        <w:rPr>
          <w:b w:val="0"/>
          <w:lang w:eastAsia="en-GB"/>
        </w:rPr>
        <w:t xml:space="preserve"> 20 minutes. Another 5.0ml of (NaOH) was added to both</w:t>
      </w:r>
      <w:r>
        <w:rPr>
          <w:b w:val="0"/>
          <w:lang w:eastAsia="en-GB"/>
        </w:rPr>
        <w:t xml:space="preserve"> the</w:t>
      </w:r>
      <w:r w:rsidRPr="00BB1B43">
        <w:rPr>
          <w:b w:val="0"/>
          <w:lang w:eastAsia="en-GB"/>
        </w:rPr>
        <w:t xml:space="preserve"> tubes. The preparation was mixed and read spectrophotometrically at 546nm wavelength </w:t>
      </w:r>
      <w:r w:rsidRPr="00BB1B43">
        <w:rPr>
          <w:b w:val="0"/>
        </w:rPr>
        <w:t>[22]</w:t>
      </w:r>
    </w:p>
    <w:p w:rsidR="009421F1" w:rsidRPr="00BB1B43" w:rsidRDefault="009421F1" w:rsidP="009421F1">
      <w:pPr>
        <w:pStyle w:val="Els-1storder-head"/>
        <w:numPr>
          <w:ilvl w:val="0"/>
          <w:numId w:val="0"/>
        </w:numPr>
        <w:jc w:val="both"/>
        <w:rPr>
          <w:i/>
          <w:lang w:eastAsia="en-GB"/>
        </w:rPr>
      </w:pPr>
      <w:r w:rsidRPr="00BB1B43">
        <w:rPr>
          <w:lang w:eastAsia="en-GB"/>
        </w:rPr>
        <w:t xml:space="preserve">2.5.3 </w:t>
      </w:r>
      <w:r w:rsidRPr="00BB1B43">
        <w:rPr>
          <w:i/>
          <w:lang w:eastAsia="en-GB"/>
        </w:rPr>
        <w:t>Alkaline Phosphatase (ALP)</w:t>
      </w:r>
    </w:p>
    <w:p w:rsidR="009421F1" w:rsidRPr="00BB1B43" w:rsidRDefault="009421F1" w:rsidP="009421F1">
      <w:pPr>
        <w:pStyle w:val="Els-1storder-head"/>
        <w:numPr>
          <w:ilvl w:val="0"/>
          <w:numId w:val="13"/>
        </w:numPr>
        <w:jc w:val="both"/>
        <w:rPr>
          <w:i/>
          <w:lang w:eastAsia="en-GB"/>
        </w:rPr>
      </w:pPr>
      <w:r w:rsidRPr="00BB1B43">
        <w:rPr>
          <w:i/>
          <w:lang w:eastAsia="en-GB"/>
        </w:rPr>
        <w:t xml:space="preserve">Procedure </w:t>
      </w:r>
    </w:p>
    <w:p w:rsidR="009421F1" w:rsidRPr="00BB1B43" w:rsidRDefault="009421F1" w:rsidP="009421F1">
      <w:pPr>
        <w:pStyle w:val="Els-1storder-head"/>
        <w:numPr>
          <w:ilvl w:val="0"/>
          <w:numId w:val="0"/>
        </w:numPr>
        <w:ind w:left="90"/>
        <w:jc w:val="both"/>
        <w:rPr>
          <w:b w:val="0"/>
          <w:lang w:eastAsia="en-GB"/>
        </w:rPr>
      </w:pPr>
      <w:r w:rsidRPr="00BB1B43">
        <w:rPr>
          <w:b w:val="0"/>
          <w:lang w:eastAsia="en-GB"/>
        </w:rPr>
        <w:t>About 0.5ml of alkaline phosphate reagent was placed in</w:t>
      </w:r>
      <w:r>
        <w:rPr>
          <w:b w:val="0"/>
          <w:lang w:eastAsia="en-GB"/>
        </w:rPr>
        <w:t xml:space="preserve"> a</w:t>
      </w:r>
      <w:r w:rsidRPr="00BB1B43">
        <w:rPr>
          <w:b w:val="0"/>
          <w:lang w:eastAsia="en-GB"/>
        </w:rPr>
        <w:t xml:space="preserve"> tube labeled</w:t>
      </w:r>
      <w:r>
        <w:rPr>
          <w:b w:val="0"/>
          <w:lang w:eastAsia="en-GB"/>
        </w:rPr>
        <w:t xml:space="preserve"> T and another</w:t>
      </w:r>
      <w:r w:rsidRPr="00BB1B43">
        <w:rPr>
          <w:b w:val="0"/>
          <w:lang w:eastAsia="en-GB"/>
        </w:rPr>
        <w:t xml:space="preserve"> 0.5ml in another tube labeled B. 50μl of serum sample was added to tube T, while 50ul of reagent blank was also added to tube B. The preparation was mixed and incubated at 37</w:t>
      </w:r>
      <w:r>
        <w:rPr>
          <w:b w:val="0"/>
          <w:vertAlign w:val="superscript"/>
          <w:lang w:eastAsia="en-GB"/>
        </w:rPr>
        <w:t>o</w:t>
      </w:r>
      <w:r w:rsidRPr="00BB1B43">
        <w:rPr>
          <w:b w:val="0"/>
          <w:lang w:eastAsia="en-GB"/>
        </w:rPr>
        <w:t>C for 10 minutes. 2.5ml of alkaline phosphatase color</w:t>
      </w:r>
      <w:r>
        <w:rPr>
          <w:b w:val="0"/>
          <w:lang w:eastAsia="en-GB"/>
        </w:rPr>
        <w:t xml:space="preserve"> developer was added to both the</w:t>
      </w:r>
      <w:r w:rsidRPr="00BB1B43">
        <w:rPr>
          <w:b w:val="0"/>
          <w:lang w:eastAsia="en-GB"/>
        </w:rPr>
        <w:t xml:space="preserve"> tubes and read spectrophotometrically at 590nm </w:t>
      </w:r>
      <w:r w:rsidRPr="00BB1B43">
        <w:rPr>
          <w:b w:val="0"/>
        </w:rPr>
        <w:t>[22]</w:t>
      </w:r>
      <w:r>
        <w:rPr>
          <w:b w:val="0"/>
        </w:rPr>
        <w:t>.</w:t>
      </w:r>
    </w:p>
    <w:p w:rsidR="009421F1" w:rsidRPr="00BB1B43" w:rsidRDefault="009421F1" w:rsidP="009421F1">
      <w:pPr>
        <w:pStyle w:val="Els-1storder-head"/>
        <w:numPr>
          <w:ilvl w:val="0"/>
          <w:numId w:val="0"/>
        </w:numPr>
        <w:jc w:val="both"/>
        <w:rPr>
          <w:i/>
          <w:lang w:eastAsia="en-GB"/>
        </w:rPr>
      </w:pPr>
      <w:r w:rsidRPr="00BB1B43">
        <w:rPr>
          <w:i/>
          <w:lang w:eastAsia="en-GB"/>
        </w:rPr>
        <w:t>2.5.4 Screening for Rubella Antibody (Rubella IgM)</w:t>
      </w:r>
    </w:p>
    <w:p w:rsidR="009421F1" w:rsidRPr="00BB1B43" w:rsidRDefault="009421F1" w:rsidP="009421F1">
      <w:pPr>
        <w:pStyle w:val="BodyText"/>
        <w:ind w:firstLine="0"/>
      </w:pPr>
      <w:r w:rsidRPr="00BB1B43">
        <w:rPr>
          <w:lang w:eastAsia="en-GB"/>
        </w:rPr>
        <w:t xml:space="preserve">Rubella virus antibody was analyzed using enzyme-linked immunosorbent assay (ELISA) which is the most sensitive and reliable procedure for detection of antibodies to Rubella </w:t>
      </w:r>
      <w:r w:rsidRPr="00BB1B43">
        <w:t>[23]</w:t>
      </w:r>
      <w:r>
        <w:t>.</w:t>
      </w:r>
    </w:p>
    <w:p w:rsidR="009421F1" w:rsidRPr="00BB1B43" w:rsidRDefault="009421F1" w:rsidP="009421F1">
      <w:pPr>
        <w:pStyle w:val="Els-1storder-head"/>
        <w:numPr>
          <w:ilvl w:val="0"/>
          <w:numId w:val="21"/>
        </w:numPr>
        <w:jc w:val="both"/>
        <w:rPr>
          <w:i/>
          <w:lang w:eastAsia="en-GB"/>
        </w:rPr>
      </w:pPr>
      <w:r w:rsidRPr="00BB1B43">
        <w:rPr>
          <w:i/>
          <w:lang w:eastAsia="en-GB"/>
        </w:rPr>
        <w:t xml:space="preserve">Procedure </w:t>
      </w:r>
    </w:p>
    <w:p w:rsidR="009421F1" w:rsidRPr="00BB1B43" w:rsidRDefault="009421F1" w:rsidP="009421F1">
      <w:pPr>
        <w:pStyle w:val="Els-1storder-head"/>
        <w:numPr>
          <w:ilvl w:val="0"/>
          <w:numId w:val="0"/>
        </w:numPr>
        <w:ind w:left="90"/>
        <w:jc w:val="both"/>
      </w:pPr>
      <w:r w:rsidRPr="00BB1B43">
        <w:rPr>
          <w:b w:val="0"/>
          <w:lang w:eastAsia="en-GB"/>
        </w:rPr>
        <w:t xml:space="preserve">Each serum sample was diluted 1:40 with serum diluent and placed in the 93 microwells of </w:t>
      </w:r>
      <w:r>
        <w:rPr>
          <w:b w:val="0"/>
          <w:lang w:eastAsia="en-GB"/>
        </w:rPr>
        <w:t>the microtitre plate and</w:t>
      </w:r>
      <w:r w:rsidRPr="00BB1B43">
        <w:rPr>
          <w:b w:val="0"/>
          <w:lang w:eastAsia="en-GB"/>
        </w:rPr>
        <w:t xml:space="preserve"> then incubated at room temperature for 30 minutes.</w:t>
      </w:r>
      <w:r>
        <w:rPr>
          <w:b w:val="0"/>
          <w:lang w:eastAsia="en-GB"/>
        </w:rPr>
        <w:t xml:space="preserve"> About</w:t>
      </w:r>
      <w:r w:rsidRPr="00BB1B43">
        <w:rPr>
          <w:b w:val="0"/>
          <w:lang w:eastAsia="en-GB"/>
        </w:rPr>
        <w:t xml:space="preserve"> 100µl of negative control, low positive and high positive standards were added in separate microwells. The preparation was washed three times and another 100µl of enzyme conjugate was dispensed into each well and incubated at room temperature for 30 minutes. This was then washed three times again and followed by the addition of 100µl Tetramethylbenzidine (TMB substrate) into each well and incubated at room temperature for 30mins. The reaction was stopped by the addition of 100µl of stop solution. The test was repeated 4 times. The color intensity of the solution in each well was measured using a microwell reader with a 450 nm filter </w:t>
      </w:r>
      <w:r w:rsidRPr="00BB1B43">
        <w:rPr>
          <w:b w:val="0"/>
        </w:rPr>
        <w:t>[24]</w:t>
      </w:r>
      <w:r>
        <w:rPr>
          <w:b w:val="0"/>
        </w:rPr>
        <w:t>.</w:t>
      </w:r>
    </w:p>
    <w:p w:rsidR="009421F1" w:rsidRPr="00BB1B43" w:rsidRDefault="009421F1" w:rsidP="009421F1">
      <w:pPr>
        <w:pStyle w:val="Els-1storder-head"/>
        <w:numPr>
          <w:ilvl w:val="0"/>
          <w:numId w:val="0"/>
        </w:numPr>
        <w:ind w:left="90"/>
        <w:jc w:val="both"/>
      </w:pPr>
      <w:r w:rsidRPr="00BB1B43">
        <w:rPr>
          <w:lang w:eastAsia="en-GB"/>
        </w:rPr>
        <w:t>3.0 Results</w:t>
      </w:r>
    </w:p>
    <w:p w:rsidR="009421F1" w:rsidRPr="00BB1B43" w:rsidRDefault="009421F1" w:rsidP="009421F1">
      <w:pPr>
        <w:spacing w:before="100" w:beforeAutospacing="1"/>
        <w:jc w:val="both"/>
        <w:rPr>
          <w:lang w:eastAsia="en-GB"/>
        </w:rPr>
      </w:pPr>
      <w:r w:rsidRPr="00BB1B43">
        <w:rPr>
          <w:lang w:eastAsia="en-GB"/>
        </w:rPr>
        <w:t>From the 288 sera samples screened, 31 were sero – reactive for HBsAg while 50 were reactive to rubella IgM antibody and 2 were sero – reactive to HIV. The overall prevalence for HBsAg was found  to be (10.76%), of the 31 HVB sero-positive subjects, 15 (5.22%) were from the 20 – 24 years age bracket representing the most  susceptible age group while the sero-positivity rate decline in 35 – 39, 40 – 44 and 45 – 49 years age groups respectively (Table 3.1).</w:t>
      </w:r>
    </w:p>
    <w:p w:rsidR="009421F1" w:rsidRPr="00BB1B43" w:rsidRDefault="009421F1" w:rsidP="009421F1">
      <w:pPr>
        <w:spacing w:before="100" w:beforeAutospacing="1"/>
        <w:jc w:val="both"/>
        <w:rPr>
          <w:lang w:eastAsia="en-GB"/>
        </w:rPr>
      </w:pPr>
    </w:p>
    <w:p w:rsidR="009421F1" w:rsidRPr="00BB1B43" w:rsidRDefault="009421F1" w:rsidP="009421F1">
      <w:pPr>
        <w:spacing w:line="480" w:lineRule="auto"/>
        <w:ind w:left="720"/>
        <w:jc w:val="both"/>
        <w:rPr>
          <w:b/>
          <w:i/>
        </w:rPr>
      </w:pPr>
    </w:p>
    <w:p w:rsidR="009421F1" w:rsidRDefault="009421F1" w:rsidP="009421F1">
      <w:pPr>
        <w:spacing w:line="480" w:lineRule="auto"/>
        <w:ind w:left="720"/>
        <w:jc w:val="both"/>
        <w:rPr>
          <w:b/>
          <w:i/>
        </w:rPr>
      </w:pPr>
    </w:p>
    <w:p w:rsidR="009421F1" w:rsidRDefault="009421F1" w:rsidP="009421F1">
      <w:pPr>
        <w:spacing w:line="480" w:lineRule="auto"/>
        <w:ind w:left="720"/>
        <w:jc w:val="both"/>
        <w:rPr>
          <w:b/>
          <w:i/>
        </w:rPr>
      </w:pPr>
    </w:p>
    <w:p w:rsidR="009421F1" w:rsidRPr="00BB1B43" w:rsidRDefault="009421F1" w:rsidP="009421F1">
      <w:pPr>
        <w:spacing w:line="480" w:lineRule="auto"/>
        <w:ind w:left="720"/>
        <w:jc w:val="both"/>
        <w:rPr>
          <w:b/>
          <w:i/>
        </w:rPr>
      </w:pPr>
      <w:r w:rsidRPr="00BB1B43">
        <w:rPr>
          <w:b/>
          <w:i/>
        </w:rPr>
        <w:t>Table 3.1: Summary of Overall Virological Assay</w:t>
      </w:r>
    </w:p>
    <w:tbl>
      <w:tblPr>
        <w:tblW w:w="11160" w:type="dxa"/>
        <w:tblInd w:w="-1512" w:type="dxa"/>
        <w:tblBorders>
          <w:top w:val="single" w:sz="4" w:space="0" w:color="auto"/>
          <w:bottom w:val="single" w:sz="4" w:space="0" w:color="auto"/>
        </w:tblBorders>
        <w:tblLayout w:type="fixed"/>
        <w:tblLook w:val="01E0"/>
      </w:tblPr>
      <w:tblGrid>
        <w:gridCol w:w="1080"/>
        <w:gridCol w:w="630"/>
        <w:gridCol w:w="1089"/>
        <w:gridCol w:w="981"/>
        <w:gridCol w:w="1080"/>
        <w:gridCol w:w="1080"/>
        <w:gridCol w:w="1170"/>
        <w:gridCol w:w="990"/>
        <w:gridCol w:w="810"/>
        <w:gridCol w:w="1080"/>
        <w:gridCol w:w="1170"/>
      </w:tblGrid>
      <w:tr w:rsidR="009421F1" w:rsidRPr="00BB1B43" w:rsidTr="001945C5">
        <w:trPr>
          <w:trHeight w:val="287"/>
        </w:trPr>
        <w:tc>
          <w:tcPr>
            <w:tcW w:w="11160" w:type="dxa"/>
            <w:gridSpan w:val="11"/>
            <w:tcBorders>
              <w:top w:val="single" w:sz="4" w:space="0" w:color="auto"/>
              <w:bottom w:val="single" w:sz="4" w:space="0" w:color="auto"/>
            </w:tcBorders>
          </w:tcPr>
          <w:p w:rsidR="009421F1" w:rsidRPr="00BB1B43" w:rsidRDefault="009421F1" w:rsidP="001945C5">
            <w:pPr>
              <w:spacing w:line="360" w:lineRule="auto"/>
              <w:jc w:val="both"/>
              <w:rPr>
                <w:b/>
              </w:rPr>
            </w:pPr>
            <w:r w:rsidRPr="00BB1B43">
              <w:rPr>
                <w:b/>
              </w:rPr>
              <w:t xml:space="preserve">                                Serological Testing n = 288                                                              Serological Markers n = 31 </w:t>
            </w:r>
          </w:p>
        </w:tc>
      </w:tr>
      <w:tr w:rsidR="009421F1" w:rsidRPr="00BB1B43" w:rsidTr="001945C5">
        <w:tc>
          <w:tcPr>
            <w:tcW w:w="1080" w:type="dxa"/>
            <w:tcBorders>
              <w:top w:val="single" w:sz="4" w:space="0" w:color="auto"/>
              <w:bottom w:val="single" w:sz="4" w:space="0" w:color="auto"/>
            </w:tcBorders>
          </w:tcPr>
          <w:p w:rsidR="009421F1" w:rsidRPr="00BB1B43" w:rsidRDefault="009421F1" w:rsidP="001945C5">
            <w:pPr>
              <w:jc w:val="both"/>
              <w:rPr>
                <w:b/>
              </w:rPr>
            </w:pPr>
            <w:r w:rsidRPr="00BB1B43">
              <w:rPr>
                <w:b/>
              </w:rPr>
              <w:t>Age  group (years)</w:t>
            </w:r>
          </w:p>
        </w:tc>
        <w:tc>
          <w:tcPr>
            <w:tcW w:w="630" w:type="dxa"/>
            <w:tcBorders>
              <w:top w:val="single" w:sz="4" w:space="0" w:color="auto"/>
              <w:bottom w:val="single" w:sz="4" w:space="0" w:color="auto"/>
            </w:tcBorders>
          </w:tcPr>
          <w:p w:rsidR="009421F1" w:rsidRPr="00BB1B43" w:rsidRDefault="009421F1" w:rsidP="001945C5">
            <w:pPr>
              <w:jc w:val="both"/>
            </w:pPr>
            <w:r w:rsidRPr="00BB1B43">
              <w:t xml:space="preserve">No screened </w:t>
            </w:r>
          </w:p>
        </w:tc>
        <w:tc>
          <w:tcPr>
            <w:tcW w:w="1089" w:type="dxa"/>
            <w:tcBorders>
              <w:top w:val="single" w:sz="4" w:space="0" w:color="auto"/>
              <w:bottom w:val="single" w:sz="4" w:space="0" w:color="auto"/>
            </w:tcBorders>
          </w:tcPr>
          <w:p w:rsidR="009421F1" w:rsidRPr="00BB1B43" w:rsidRDefault="009421F1" w:rsidP="001945C5">
            <w:pPr>
              <w:jc w:val="both"/>
            </w:pPr>
            <w:r w:rsidRPr="00BB1B43">
              <w:t>HBsAg reactive (rapid screening)</w:t>
            </w:r>
          </w:p>
        </w:tc>
        <w:tc>
          <w:tcPr>
            <w:tcW w:w="981" w:type="dxa"/>
            <w:tcBorders>
              <w:top w:val="single" w:sz="4" w:space="0" w:color="auto"/>
              <w:bottom w:val="single" w:sz="4" w:space="0" w:color="auto"/>
            </w:tcBorders>
          </w:tcPr>
          <w:p w:rsidR="009421F1" w:rsidRPr="00BB1B43" w:rsidRDefault="009421F1" w:rsidP="001945C5">
            <w:pPr>
              <w:jc w:val="both"/>
            </w:pPr>
            <w:r w:rsidRPr="00BB1B43">
              <w:t>HIV reactive (rapid screening)</w:t>
            </w:r>
          </w:p>
        </w:tc>
        <w:tc>
          <w:tcPr>
            <w:tcW w:w="1080" w:type="dxa"/>
            <w:tcBorders>
              <w:top w:val="single" w:sz="4" w:space="0" w:color="auto"/>
              <w:bottom w:val="single" w:sz="4" w:space="0" w:color="auto"/>
            </w:tcBorders>
          </w:tcPr>
          <w:p w:rsidR="009421F1" w:rsidRPr="00BB1B43" w:rsidRDefault="009421F1" w:rsidP="001945C5">
            <w:pPr>
              <w:jc w:val="both"/>
            </w:pPr>
            <w:r w:rsidRPr="00BB1B43">
              <w:t>Rubella IgM reactive (ELISA)%</w:t>
            </w:r>
          </w:p>
        </w:tc>
        <w:tc>
          <w:tcPr>
            <w:tcW w:w="1080" w:type="dxa"/>
            <w:tcBorders>
              <w:top w:val="single" w:sz="4" w:space="0" w:color="auto"/>
              <w:bottom w:val="single" w:sz="4" w:space="0" w:color="auto"/>
            </w:tcBorders>
          </w:tcPr>
          <w:p w:rsidR="009421F1" w:rsidRPr="00BB1B43" w:rsidRDefault="009421F1" w:rsidP="001945C5">
            <w:pPr>
              <w:jc w:val="both"/>
            </w:pPr>
            <w:r w:rsidRPr="00BB1B43">
              <w:t xml:space="preserve">NO. Screened </w:t>
            </w:r>
          </w:p>
        </w:tc>
        <w:tc>
          <w:tcPr>
            <w:tcW w:w="1170" w:type="dxa"/>
            <w:tcBorders>
              <w:top w:val="single" w:sz="4" w:space="0" w:color="auto"/>
              <w:bottom w:val="single" w:sz="4" w:space="0" w:color="auto"/>
            </w:tcBorders>
          </w:tcPr>
          <w:p w:rsidR="009421F1" w:rsidRPr="00BB1B43" w:rsidRDefault="009421F1" w:rsidP="001945C5">
            <w:pPr>
              <w:jc w:val="both"/>
            </w:pPr>
            <w:r w:rsidRPr="00BB1B43">
              <w:t>HBsAg(+)</w:t>
            </w:r>
          </w:p>
        </w:tc>
        <w:tc>
          <w:tcPr>
            <w:tcW w:w="990" w:type="dxa"/>
            <w:tcBorders>
              <w:top w:val="single" w:sz="4" w:space="0" w:color="auto"/>
              <w:bottom w:val="single" w:sz="4" w:space="0" w:color="auto"/>
            </w:tcBorders>
          </w:tcPr>
          <w:p w:rsidR="009421F1" w:rsidRPr="00BB1B43" w:rsidRDefault="009421F1" w:rsidP="001945C5">
            <w:pPr>
              <w:jc w:val="both"/>
            </w:pPr>
            <w:r w:rsidRPr="00BB1B43">
              <w:t>AntiHBs(+)</w:t>
            </w:r>
          </w:p>
        </w:tc>
        <w:tc>
          <w:tcPr>
            <w:tcW w:w="810" w:type="dxa"/>
            <w:tcBorders>
              <w:top w:val="single" w:sz="4" w:space="0" w:color="auto"/>
              <w:bottom w:val="single" w:sz="4" w:space="0" w:color="auto"/>
            </w:tcBorders>
          </w:tcPr>
          <w:p w:rsidR="009421F1" w:rsidRPr="00BB1B43" w:rsidRDefault="009421F1" w:rsidP="001945C5">
            <w:pPr>
              <w:jc w:val="both"/>
            </w:pPr>
            <w:r w:rsidRPr="00BB1B43">
              <w:t>HBeAg(+)</w:t>
            </w:r>
          </w:p>
        </w:tc>
        <w:tc>
          <w:tcPr>
            <w:tcW w:w="1080" w:type="dxa"/>
            <w:tcBorders>
              <w:top w:val="single" w:sz="4" w:space="0" w:color="auto"/>
              <w:bottom w:val="single" w:sz="4" w:space="0" w:color="auto"/>
            </w:tcBorders>
          </w:tcPr>
          <w:p w:rsidR="009421F1" w:rsidRPr="00BB1B43" w:rsidRDefault="009421F1" w:rsidP="001945C5">
            <w:pPr>
              <w:jc w:val="both"/>
            </w:pPr>
            <w:r w:rsidRPr="00BB1B43">
              <w:t>AntiHBe(+)</w:t>
            </w:r>
          </w:p>
        </w:tc>
        <w:tc>
          <w:tcPr>
            <w:tcW w:w="1170" w:type="dxa"/>
            <w:tcBorders>
              <w:top w:val="single" w:sz="4" w:space="0" w:color="auto"/>
              <w:bottom w:val="single" w:sz="4" w:space="0" w:color="auto"/>
            </w:tcBorders>
          </w:tcPr>
          <w:p w:rsidR="009421F1" w:rsidRPr="00BB1B43" w:rsidRDefault="009421F1" w:rsidP="001945C5">
            <w:pPr>
              <w:jc w:val="both"/>
            </w:pPr>
            <w:r w:rsidRPr="00BB1B43">
              <w:t>AntiHBc(+)</w:t>
            </w:r>
          </w:p>
        </w:tc>
      </w:tr>
      <w:tr w:rsidR="009421F1" w:rsidRPr="00BB1B43" w:rsidTr="001945C5">
        <w:trPr>
          <w:trHeight w:val="467"/>
        </w:trPr>
        <w:tc>
          <w:tcPr>
            <w:tcW w:w="1080" w:type="dxa"/>
            <w:tcBorders>
              <w:top w:val="single" w:sz="4" w:space="0" w:color="auto"/>
            </w:tcBorders>
          </w:tcPr>
          <w:p w:rsidR="009421F1" w:rsidRPr="00BB1B43" w:rsidRDefault="009421F1" w:rsidP="001945C5">
            <w:pPr>
              <w:spacing w:line="360" w:lineRule="auto"/>
              <w:jc w:val="both"/>
            </w:pPr>
            <w:r w:rsidRPr="00BB1B43">
              <w:t xml:space="preserve">15 – 19 </w:t>
            </w:r>
          </w:p>
        </w:tc>
        <w:tc>
          <w:tcPr>
            <w:tcW w:w="630" w:type="dxa"/>
            <w:tcBorders>
              <w:top w:val="single" w:sz="4" w:space="0" w:color="auto"/>
            </w:tcBorders>
          </w:tcPr>
          <w:p w:rsidR="009421F1" w:rsidRPr="00BB1B43" w:rsidRDefault="009421F1" w:rsidP="001945C5">
            <w:pPr>
              <w:spacing w:line="360" w:lineRule="auto"/>
              <w:jc w:val="both"/>
            </w:pPr>
            <w:r w:rsidRPr="00BB1B43">
              <w:t>12</w:t>
            </w:r>
          </w:p>
        </w:tc>
        <w:tc>
          <w:tcPr>
            <w:tcW w:w="1089" w:type="dxa"/>
            <w:tcBorders>
              <w:top w:val="single" w:sz="4" w:space="0" w:color="auto"/>
            </w:tcBorders>
          </w:tcPr>
          <w:p w:rsidR="009421F1" w:rsidRPr="00BB1B43" w:rsidRDefault="009421F1" w:rsidP="001945C5">
            <w:pPr>
              <w:spacing w:line="360" w:lineRule="auto"/>
              <w:jc w:val="both"/>
            </w:pPr>
            <w:r w:rsidRPr="00BB1B43">
              <w:t>2 (0.70)</w:t>
            </w:r>
          </w:p>
        </w:tc>
        <w:tc>
          <w:tcPr>
            <w:tcW w:w="981" w:type="dxa"/>
            <w:tcBorders>
              <w:top w:val="single" w:sz="4" w:space="0" w:color="auto"/>
            </w:tcBorders>
          </w:tcPr>
          <w:p w:rsidR="009421F1" w:rsidRPr="00BB1B43" w:rsidRDefault="009421F1" w:rsidP="001945C5">
            <w:pPr>
              <w:spacing w:line="360" w:lineRule="auto"/>
              <w:jc w:val="both"/>
            </w:pPr>
            <w:r w:rsidRPr="00BB1B43">
              <w:t>0 (0.00)</w:t>
            </w:r>
          </w:p>
        </w:tc>
        <w:tc>
          <w:tcPr>
            <w:tcW w:w="1080" w:type="dxa"/>
            <w:tcBorders>
              <w:top w:val="single" w:sz="4" w:space="0" w:color="auto"/>
            </w:tcBorders>
          </w:tcPr>
          <w:p w:rsidR="009421F1" w:rsidRPr="00BB1B43" w:rsidRDefault="009421F1" w:rsidP="001945C5">
            <w:pPr>
              <w:spacing w:line="360" w:lineRule="auto"/>
              <w:jc w:val="both"/>
            </w:pPr>
            <w:r w:rsidRPr="00BB1B43">
              <w:t>2(9.52)</w:t>
            </w:r>
          </w:p>
        </w:tc>
        <w:tc>
          <w:tcPr>
            <w:tcW w:w="1080" w:type="dxa"/>
            <w:tcBorders>
              <w:top w:val="single" w:sz="4" w:space="0" w:color="auto"/>
            </w:tcBorders>
          </w:tcPr>
          <w:p w:rsidR="009421F1" w:rsidRPr="00BB1B43" w:rsidRDefault="009421F1" w:rsidP="001945C5">
            <w:pPr>
              <w:spacing w:line="360" w:lineRule="auto"/>
              <w:jc w:val="both"/>
            </w:pPr>
            <w:r w:rsidRPr="00BB1B43">
              <w:t>2 (0.70)</w:t>
            </w:r>
          </w:p>
        </w:tc>
        <w:tc>
          <w:tcPr>
            <w:tcW w:w="1170" w:type="dxa"/>
            <w:tcBorders>
              <w:top w:val="single" w:sz="4" w:space="0" w:color="auto"/>
            </w:tcBorders>
          </w:tcPr>
          <w:p w:rsidR="009421F1" w:rsidRPr="00BB1B43" w:rsidRDefault="009421F1" w:rsidP="001945C5">
            <w:pPr>
              <w:spacing w:line="360" w:lineRule="auto"/>
              <w:jc w:val="both"/>
            </w:pPr>
            <w:r w:rsidRPr="00BB1B43">
              <w:t>2(0.70)</w:t>
            </w:r>
          </w:p>
        </w:tc>
        <w:tc>
          <w:tcPr>
            <w:tcW w:w="990" w:type="dxa"/>
            <w:tcBorders>
              <w:top w:val="single" w:sz="4" w:space="0" w:color="auto"/>
            </w:tcBorders>
          </w:tcPr>
          <w:p w:rsidR="009421F1" w:rsidRPr="00BB1B43" w:rsidRDefault="009421F1" w:rsidP="001945C5">
            <w:pPr>
              <w:spacing w:line="360" w:lineRule="auto"/>
              <w:jc w:val="both"/>
            </w:pPr>
            <w:r w:rsidRPr="00BB1B43">
              <w:t>0(0.00)</w:t>
            </w:r>
          </w:p>
        </w:tc>
        <w:tc>
          <w:tcPr>
            <w:tcW w:w="810" w:type="dxa"/>
            <w:tcBorders>
              <w:top w:val="single" w:sz="4" w:space="0" w:color="auto"/>
            </w:tcBorders>
          </w:tcPr>
          <w:p w:rsidR="009421F1" w:rsidRPr="00BB1B43" w:rsidRDefault="009421F1" w:rsidP="001945C5">
            <w:pPr>
              <w:spacing w:line="360" w:lineRule="auto"/>
              <w:jc w:val="both"/>
            </w:pPr>
            <w:r w:rsidRPr="00BB1B43">
              <w:t>1(3.23)</w:t>
            </w:r>
          </w:p>
        </w:tc>
        <w:tc>
          <w:tcPr>
            <w:tcW w:w="1080" w:type="dxa"/>
            <w:tcBorders>
              <w:top w:val="single" w:sz="4" w:space="0" w:color="auto"/>
            </w:tcBorders>
          </w:tcPr>
          <w:p w:rsidR="009421F1" w:rsidRPr="00BB1B43" w:rsidRDefault="009421F1" w:rsidP="001945C5">
            <w:pPr>
              <w:spacing w:line="360" w:lineRule="auto"/>
              <w:jc w:val="both"/>
            </w:pPr>
            <w:r w:rsidRPr="00BB1B43">
              <w:t>2(6.45)</w:t>
            </w:r>
          </w:p>
        </w:tc>
        <w:tc>
          <w:tcPr>
            <w:tcW w:w="1170" w:type="dxa"/>
            <w:tcBorders>
              <w:top w:val="single" w:sz="4" w:space="0" w:color="auto"/>
            </w:tcBorders>
          </w:tcPr>
          <w:p w:rsidR="009421F1" w:rsidRPr="00BB1B43" w:rsidRDefault="009421F1" w:rsidP="001945C5">
            <w:pPr>
              <w:spacing w:line="360" w:lineRule="auto"/>
              <w:jc w:val="both"/>
            </w:pPr>
            <w:r w:rsidRPr="00BB1B43">
              <w:t>2(6.45)</w:t>
            </w:r>
          </w:p>
        </w:tc>
      </w:tr>
      <w:tr w:rsidR="009421F1" w:rsidRPr="00BB1B43" w:rsidTr="001945C5">
        <w:tc>
          <w:tcPr>
            <w:tcW w:w="1080" w:type="dxa"/>
          </w:tcPr>
          <w:p w:rsidR="009421F1" w:rsidRPr="00BB1B43" w:rsidRDefault="009421F1" w:rsidP="001945C5">
            <w:pPr>
              <w:spacing w:line="360" w:lineRule="auto"/>
              <w:jc w:val="both"/>
            </w:pPr>
            <w:r w:rsidRPr="00BB1B43">
              <w:t xml:space="preserve">20 – 24 </w:t>
            </w:r>
          </w:p>
        </w:tc>
        <w:tc>
          <w:tcPr>
            <w:tcW w:w="630" w:type="dxa"/>
          </w:tcPr>
          <w:p w:rsidR="009421F1" w:rsidRPr="00BB1B43" w:rsidRDefault="009421F1" w:rsidP="001945C5">
            <w:pPr>
              <w:spacing w:line="360" w:lineRule="auto"/>
              <w:jc w:val="both"/>
            </w:pPr>
            <w:r w:rsidRPr="00BB1B43">
              <w:t>115</w:t>
            </w:r>
          </w:p>
        </w:tc>
        <w:tc>
          <w:tcPr>
            <w:tcW w:w="1089" w:type="dxa"/>
          </w:tcPr>
          <w:p w:rsidR="009421F1" w:rsidRPr="00BB1B43" w:rsidRDefault="009421F1" w:rsidP="001945C5">
            <w:pPr>
              <w:spacing w:line="360" w:lineRule="auto"/>
              <w:jc w:val="both"/>
            </w:pPr>
            <w:r w:rsidRPr="00BB1B43">
              <w:t>15(5.22)</w:t>
            </w:r>
          </w:p>
        </w:tc>
        <w:tc>
          <w:tcPr>
            <w:tcW w:w="981" w:type="dxa"/>
          </w:tcPr>
          <w:p w:rsidR="009421F1" w:rsidRPr="00BB1B43" w:rsidRDefault="009421F1" w:rsidP="001945C5">
            <w:pPr>
              <w:spacing w:line="360" w:lineRule="auto"/>
              <w:jc w:val="both"/>
            </w:pPr>
            <w:r w:rsidRPr="00BB1B43">
              <w:t>0 (0.00)</w:t>
            </w:r>
          </w:p>
        </w:tc>
        <w:tc>
          <w:tcPr>
            <w:tcW w:w="1080" w:type="dxa"/>
          </w:tcPr>
          <w:p w:rsidR="009421F1" w:rsidRPr="00BB1B43" w:rsidRDefault="009421F1" w:rsidP="001945C5">
            <w:pPr>
              <w:spacing w:line="360" w:lineRule="auto"/>
              <w:jc w:val="both"/>
            </w:pPr>
            <w:r w:rsidRPr="00BB1B43">
              <w:t>20(17.40)</w:t>
            </w:r>
          </w:p>
        </w:tc>
        <w:tc>
          <w:tcPr>
            <w:tcW w:w="1080" w:type="dxa"/>
          </w:tcPr>
          <w:p w:rsidR="009421F1" w:rsidRPr="00BB1B43" w:rsidRDefault="009421F1" w:rsidP="001945C5">
            <w:pPr>
              <w:spacing w:line="360" w:lineRule="auto"/>
              <w:jc w:val="both"/>
            </w:pPr>
            <w:r w:rsidRPr="00BB1B43">
              <w:t xml:space="preserve">15(5.22) </w:t>
            </w:r>
          </w:p>
        </w:tc>
        <w:tc>
          <w:tcPr>
            <w:tcW w:w="1170" w:type="dxa"/>
          </w:tcPr>
          <w:p w:rsidR="009421F1" w:rsidRPr="00BB1B43" w:rsidRDefault="009421F1" w:rsidP="001945C5">
            <w:pPr>
              <w:spacing w:line="360" w:lineRule="auto"/>
              <w:jc w:val="both"/>
            </w:pPr>
            <w:r w:rsidRPr="00BB1B43">
              <w:t>15(5.22)</w:t>
            </w:r>
          </w:p>
        </w:tc>
        <w:tc>
          <w:tcPr>
            <w:tcW w:w="990" w:type="dxa"/>
          </w:tcPr>
          <w:p w:rsidR="009421F1" w:rsidRPr="00BB1B43" w:rsidRDefault="009421F1" w:rsidP="001945C5">
            <w:pPr>
              <w:spacing w:line="360" w:lineRule="auto"/>
              <w:jc w:val="both"/>
            </w:pPr>
            <w:r w:rsidRPr="00BB1B43">
              <w:t>0(0.00)</w:t>
            </w:r>
          </w:p>
        </w:tc>
        <w:tc>
          <w:tcPr>
            <w:tcW w:w="810" w:type="dxa"/>
          </w:tcPr>
          <w:p w:rsidR="009421F1" w:rsidRPr="00BB1B43" w:rsidRDefault="009421F1" w:rsidP="001945C5">
            <w:pPr>
              <w:spacing w:line="360" w:lineRule="auto"/>
              <w:jc w:val="both"/>
            </w:pPr>
            <w:r w:rsidRPr="00BB1B43">
              <w:t>2(6.45)</w:t>
            </w:r>
          </w:p>
        </w:tc>
        <w:tc>
          <w:tcPr>
            <w:tcW w:w="1080" w:type="dxa"/>
          </w:tcPr>
          <w:p w:rsidR="009421F1" w:rsidRPr="00BB1B43" w:rsidRDefault="009421F1" w:rsidP="001945C5">
            <w:pPr>
              <w:spacing w:line="360" w:lineRule="auto"/>
              <w:jc w:val="both"/>
            </w:pPr>
            <w:r w:rsidRPr="00BB1B43">
              <w:t>12(38.71)</w:t>
            </w:r>
          </w:p>
        </w:tc>
        <w:tc>
          <w:tcPr>
            <w:tcW w:w="1170" w:type="dxa"/>
          </w:tcPr>
          <w:p w:rsidR="009421F1" w:rsidRPr="00BB1B43" w:rsidRDefault="009421F1" w:rsidP="001945C5">
            <w:pPr>
              <w:spacing w:line="360" w:lineRule="auto"/>
              <w:jc w:val="both"/>
            </w:pPr>
            <w:r w:rsidRPr="00BB1B43">
              <w:t>10(32.26)</w:t>
            </w:r>
          </w:p>
        </w:tc>
      </w:tr>
      <w:tr w:rsidR="009421F1" w:rsidRPr="00BB1B43" w:rsidTr="001945C5">
        <w:tc>
          <w:tcPr>
            <w:tcW w:w="1080" w:type="dxa"/>
          </w:tcPr>
          <w:p w:rsidR="009421F1" w:rsidRPr="00BB1B43" w:rsidRDefault="009421F1" w:rsidP="001945C5">
            <w:pPr>
              <w:spacing w:line="360" w:lineRule="auto"/>
              <w:jc w:val="both"/>
            </w:pPr>
            <w:r w:rsidRPr="00BB1B43">
              <w:t>25 – 29</w:t>
            </w:r>
          </w:p>
        </w:tc>
        <w:tc>
          <w:tcPr>
            <w:tcW w:w="630" w:type="dxa"/>
          </w:tcPr>
          <w:p w:rsidR="009421F1" w:rsidRPr="00BB1B43" w:rsidRDefault="009421F1" w:rsidP="001945C5">
            <w:pPr>
              <w:spacing w:line="360" w:lineRule="auto"/>
              <w:jc w:val="both"/>
            </w:pPr>
            <w:r w:rsidRPr="00BB1B43">
              <w:t>81</w:t>
            </w:r>
          </w:p>
        </w:tc>
        <w:tc>
          <w:tcPr>
            <w:tcW w:w="1089" w:type="dxa"/>
          </w:tcPr>
          <w:p w:rsidR="009421F1" w:rsidRPr="00BB1B43" w:rsidRDefault="009421F1" w:rsidP="001945C5">
            <w:pPr>
              <w:spacing w:line="360" w:lineRule="auto"/>
              <w:jc w:val="both"/>
            </w:pPr>
            <w:r w:rsidRPr="00BB1B43">
              <w:t xml:space="preserve">7(2.44) </w:t>
            </w:r>
          </w:p>
        </w:tc>
        <w:tc>
          <w:tcPr>
            <w:tcW w:w="981" w:type="dxa"/>
          </w:tcPr>
          <w:p w:rsidR="009421F1" w:rsidRPr="00BB1B43" w:rsidRDefault="009421F1" w:rsidP="001945C5">
            <w:pPr>
              <w:spacing w:line="360" w:lineRule="auto"/>
              <w:jc w:val="both"/>
            </w:pPr>
            <w:r w:rsidRPr="00BB1B43">
              <w:t xml:space="preserve">0(0.00) </w:t>
            </w:r>
          </w:p>
        </w:tc>
        <w:tc>
          <w:tcPr>
            <w:tcW w:w="1080" w:type="dxa"/>
          </w:tcPr>
          <w:p w:rsidR="009421F1" w:rsidRPr="00BB1B43" w:rsidRDefault="009421F1" w:rsidP="001945C5">
            <w:pPr>
              <w:spacing w:line="360" w:lineRule="auto"/>
              <w:jc w:val="both"/>
            </w:pPr>
            <w:r w:rsidRPr="00BB1B43">
              <w:t>15(18.52)</w:t>
            </w:r>
          </w:p>
        </w:tc>
        <w:tc>
          <w:tcPr>
            <w:tcW w:w="1080" w:type="dxa"/>
          </w:tcPr>
          <w:p w:rsidR="009421F1" w:rsidRPr="00BB1B43" w:rsidRDefault="009421F1" w:rsidP="001945C5">
            <w:pPr>
              <w:spacing w:line="360" w:lineRule="auto"/>
              <w:jc w:val="both"/>
            </w:pPr>
            <w:r w:rsidRPr="00BB1B43">
              <w:t>7(2.44)</w:t>
            </w:r>
          </w:p>
        </w:tc>
        <w:tc>
          <w:tcPr>
            <w:tcW w:w="1170" w:type="dxa"/>
          </w:tcPr>
          <w:p w:rsidR="009421F1" w:rsidRPr="00BB1B43" w:rsidRDefault="009421F1" w:rsidP="001945C5">
            <w:pPr>
              <w:spacing w:line="360" w:lineRule="auto"/>
              <w:jc w:val="both"/>
            </w:pPr>
            <w:r w:rsidRPr="00BB1B43">
              <w:t>7(2.44)</w:t>
            </w:r>
          </w:p>
        </w:tc>
        <w:tc>
          <w:tcPr>
            <w:tcW w:w="990" w:type="dxa"/>
          </w:tcPr>
          <w:p w:rsidR="009421F1" w:rsidRPr="00BB1B43" w:rsidRDefault="009421F1" w:rsidP="001945C5">
            <w:pPr>
              <w:spacing w:line="360" w:lineRule="auto"/>
              <w:jc w:val="both"/>
            </w:pPr>
            <w:r w:rsidRPr="00BB1B43">
              <w:t>0(0.00)</w:t>
            </w:r>
          </w:p>
        </w:tc>
        <w:tc>
          <w:tcPr>
            <w:tcW w:w="810" w:type="dxa"/>
          </w:tcPr>
          <w:p w:rsidR="009421F1" w:rsidRPr="00BB1B43" w:rsidRDefault="009421F1" w:rsidP="001945C5">
            <w:pPr>
              <w:spacing w:line="360" w:lineRule="auto"/>
              <w:jc w:val="both"/>
            </w:pPr>
            <w:r w:rsidRPr="00BB1B43">
              <w:t>0(0.00)</w:t>
            </w:r>
          </w:p>
        </w:tc>
        <w:tc>
          <w:tcPr>
            <w:tcW w:w="1080" w:type="dxa"/>
          </w:tcPr>
          <w:p w:rsidR="009421F1" w:rsidRPr="00BB1B43" w:rsidRDefault="009421F1" w:rsidP="001945C5">
            <w:pPr>
              <w:spacing w:line="360" w:lineRule="auto"/>
              <w:jc w:val="both"/>
            </w:pPr>
            <w:r w:rsidRPr="00BB1B43">
              <w:t>5(16.13)</w:t>
            </w:r>
          </w:p>
        </w:tc>
        <w:tc>
          <w:tcPr>
            <w:tcW w:w="1170" w:type="dxa"/>
          </w:tcPr>
          <w:p w:rsidR="009421F1" w:rsidRPr="00BB1B43" w:rsidRDefault="009421F1" w:rsidP="001945C5">
            <w:pPr>
              <w:spacing w:line="360" w:lineRule="auto"/>
              <w:jc w:val="both"/>
            </w:pPr>
            <w:r w:rsidRPr="00BB1B43">
              <w:t>7(22.58)</w:t>
            </w:r>
          </w:p>
        </w:tc>
      </w:tr>
      <w:tr w:rsidR="009421F1" w:rsidRPr="00BB1B43" w:rsidTr="001945C5">
        <w:trPr>
          <w:trHeight w:val="315"/>
        </w:trPr>
        <w:tc>
          <w:tcPr>
            <w:tcW w:w="1080" w:type="dxa"/>
          </w:tcPr>
          <w:p w:rsidR="009421F1" w:rsidRPr="00BB1B43" w:rsidRDefault="009421F1" w:rsidP="001945C5">
            <w:pPr>
              <w:spacing w:line="360" w:lineRule="auto"/>
              <w:jc w:val="both"/>
            </w:pPr>
            <w:r w:rsidRPr="00BB1B43">
              <w:t xml:space="preserve">30 – 34 </w:t>
            </w:r>
          </w:p>
        </w:tc>
        <w:tc>
          <w:tcPr>
            <w:tcW w:w="630" w:type="dxa"/>
          </w:tcPr>
          <w:p w:rsidR="009421F1" w:rsidRPr="00BB1B43" w:rsidRDefault="009421F1" w:rsidP="001945C5">
            <w:pPr>
              <w:spacing w:line="360" w:lineRule="auto"/>
              <w:jc w:val="both"/>
            </w:pPr>
            <w:r w:rsidRPr="00BB1B43">
              <w:t>45</w:t>
            </w:r>
          </w:p>
        </w:tc>
        <w:tc>
          <w:tcPr>
            <w:tcW w:w="1089" w:type="dxa"/>
          </w:tcPr>
          <w:p w:rsidR="009421F1" w:rsidRPr="00BB1B43" w:rsidRDefault="009421F1" w:rsidP="001945C5">
            <w:pPr>
              <w:spacing w:line="360" w:lineRule="auto"/>
              <w:jc w:val="both"/>
            </w:pPr>
            <w:r w:rsidRPr="00BB1B43">
              <w:t>5(1.74)</w:t>
            </w:r>
          </w:p>
        </w:tc>
        <w:tc>
          <w:tcPr>
            <w:tcW w:w="981" w:type="dxa"/>
          </w:tcPr>
          <w:p w:rsidR="009421F1" w:rsidRPr="00BB1B43" w:rsidRDefault="009421F1" w:rsidP="001945C5">
            <w:pPr>
              <w:spacing w:line="360" w:lineRule="auto"/>
              <w:jc w:val="both"/>
            </w:pPr>
            <w:r w:rsidRPr="00BB1B43">
              <w:t>2(0.70)</w:t>
            </w:r>
          </w:p>
        </w:tc>
        <w:tc>
          <w:tcPr>
            <w:tcW w:w="1080" w:type="dxa"/>
          </w:tcPr>
          <w:p w:rsidR="009421F1" w:rsidRPr="00BB1B43" w:rsidRDefault="009421F1" w:rsidP="001945C5">
            <w:pPr>
              <w:spacing w:line="360" w:lineRule="auto"/>
              <w:jc w:val="both"/>
            </w:pPr>
            <w:r w:rsidRPr="00BB1B43">
              <w:t>7(15.56)</w:t>
            </w:r>
          </w:p>
        </w:tc>
        <w:tc>
          <w:tcPr>
            <w:tcW w:w="1080" w:type="dxa"/>
          </w:tcPr>
          <w:p w:rsidR="009421F1" w:rsidRPr="00BB1B43" w:rsidRDefault="009421F1" w:rsidP="001945C5">
            <w:pPr>
              <w:spacing w:line="360" w:lineRule="auto"/>
              <w:jc w:val="both"/>
            </w:pPr>
            <w:r w:rsidRPr="00BB1B43">
              <w:t>5(1.74)</w:t>
            </w:r>
          </w:p>
        </w:tc>
        <w:tc>
          <w:tcPr>
            <w:tcW w:w="1170" w:type="dxa"/>
          </w:tcPr>
          <w:p w:rsidR="009421F1" w:rsidRPr="00BB1B43" w:rsidRDefault="009421F1" w:rsidP="001945C5">
            <w:pPr>
              <w:spacing w:line="360" w:lineRule="auto"/>
              <w:jc w:val="both"/>
            </w:pPr>
            <w:r w:rsidRPr="00BB1B43">
              <w:t>5(1.74)</w:t>
            </w:r>
          </w:p>
        </w:tc>
        <w:tc>
          <w:tcPr>
            <w:tcW w:w="990" w:type="dxa"/>
          </w:tcPr>
          <w:p w:rsidR="009421F1" w:rsidRPr="00BB1B43" w:rsidRDefault="009421F1" w:rsidP="001945C5">
            <w:pPr>
              <w:spacing w:line="360" w:lineRule="auto"/>
              <w:jc w:val="both"/>
            </w:pPr>
            <w:r w:rsidRPr="00BB1B43">
              <w:t>0(0.00)</w:t>
            </w:r>
          </w:p>
        </w:tc>
        <w:tc>
          <w:tcPr>
            <w:tcW w:w="810" w:type="dxa"/>
          </w:tcPr>
          <w:p w:rsidR="009421F1" w:rsidRPr="00BB1B43" w:rsidRDefault="009421F1" w:rsidP="001945C5">
            <w:pPr>
              <w:spacing w:line="360" w:lineRule="auto"/>
              <w:jc w:val="both"/>
            </w:pPr>
            <w:r w:rsidRPr="00BB1B43">
              <w:t>0(0.00)</w:t>
            </w:r>
          </w:p>
        </w:tc>
        <w:tc>
          <w:tcPr>
            <w:tcW w:w="1080" w:type="dxa"/>
          </w:tcPr>
          <w:p w:rsidR="009421F1" w:rsidRPr="00BB1B43" w:rsidRDefault="009421F1" w:rsidP="001945C5">
            <w:pPr>
              <w:spacing w:line="360" w:lineRule="auto"/>
              <w:jc w:val="both"/>
            </w:pPr>
            <w:r w:rsidRPr="00BB1B43">
              <w:t>3(9.68)</w:t>
            </w:r>
          </w:p>
        </w:tc>
        <w:tc>
          <w:tcPr>
            <w:tcW w:w="1170" w:type="dxa"/>
          </w:tcPr>
          <w:p w:rsidR="009421F1" w:rsidRPr="00BB1B43" w:rsidRDefault="009421F1" w:rsidP="001945C5">
            <w:pPr>
              <w:spacing w:line="360" w:lineRule="auto"/>
              <w:jc w:val="both"/>
            </w:pPr>
            <w:r w:rsidRPr="00BB1B43">
              <w:t>2(6.45)</w:t>
            </w:r>
          </w:p>
        </w:tc>
      </w:tr>
      <w:tr w:rsidR="009421F1" w:rsidRPr="00BB1B43" w:rsidTr="001945C5">
        <w:tc>
          <w:tcPr>
            <w:tcW w:w="1080" w:type="dxa"/>
          </w:tcPr>
          <w:p w:rsidR="009421F1" w:rsidRPr="00BB1B43" w:rsidRDefault="009421F1" w:rsidP="001945C5">
            <w:pPr>
              <w:spacing w:line="360" w:lineRule="auto"/>
              <w:jc w:val="both"/>
            </w:pPr>
            <w:r w:rsidRPr="00BB1B43">
              <w:t>35 – 39</w:t>
            </w:r>
          </w:p>
        </w:tc>
        <w:tc>
          <w:tcPr>
            <w:tcW w:w="630" w:type="dxa"/>
          </w:tcPr>
          <w:p w:rsidR="009421F1" w:rsidRPr="00BB1B43" w:rsidRDefault="009421F1" w:rsidP="001945C5">
            <w:pPr>
              <w:spacing w:line="360" w:lineRule="auto"/>
              <w:jc w:val="both"/>
            </w:pPr>
            <w:r w:rsidRPr="00BB1B43">
              <w:t>22</w:t>
            </w:r>
          </w:p>
        </w:tc>
        <w:tc>
          <w:tcPr>
            <w:tcW w:w="1089" w:type="dxa"/>
          </w:tcPr>
          <w:p w:rsidR="009421F1" w:rsidRPr="00BB1B43" w:rsidRDefault="009421F1" w:rsidP="001945C5">
            <w:pPr>
              <w:spacing w:line="360" w:lineRule="auto"/>
              <w:jc w:val="both"/>
            </w:pPr>
            <w:r w:rsidRPr="00BB1B43">
              <w:t>1 (0.35)</w:t>
            </w:r>
          </w:p>
        </w:tc>
        <w:tc>
          <w:tcPr>
            <w:tcW w:w="981" w:type="dxa"/>
          </w:tcPr>
          <w:p w:rsidR="009421F1" w:rsidRPr="00BB1B43" w:rsidRDefault="009421F1" w:rsidP="001945C5">
            <w:pPr>
              <w:spacing w:line="360" w:lineRule="auto"/>
              <w:jc w:val="both"/>
            </w:pPr>
            <w:r w:rsidRPr="00BB1B43">
              <w:t xml:space="preserve">0(0.00) </w:t>
            </w:r>
          </w:p>
        </w:tc>
        <w:tc>
          <w:tcPr>
            <w:tcW w:w="1080" w:type="dxa"/>
          </w:tcPr>
          <w:p w:rsidR="009421F1" w:rsidRPr="00BB1B43" w:rsidRDefault="009421F1" w:rsidP="001945C5">
            <w:pPr>
              <w:spacing w:line="360" w:lineRule="auto"/>
              <w:jc w:val="both"/>
            </w:pPr>
            <w:r w:rsidRPr="00BB1B43">
              <w:t>5(22.73)</w:t>
            </w:r>
          </w:p>
        </w:tc>
        <w:tc>
          <w:tcPr>
            <w:tcW w:w="1080" w:type="dxa"/>
          </w:tcPr>
          <w:p w:rsidR="009421F1" w:rsidRPr="00BB1B43" w:rsidRDefault="009421F1" w:rsidP="001945C5">
            <w:pPr>
              <w:spacing w:line="360" w:lineRule="auto"/>
              <w:jc w:val="both"/>
            </w:pPr>
            <w:r w:rsidRPr="00BB1B43">
              <w:t>1(0.35)</w:t>
            </w:r>
          </w:p>
        </w:tc>
        <w:tc>
          <w:tcPr>
            <w:tcW w:w="1170" w:type="dxa"/>
          </w:tcPr>
          <w:p w:rsidR="009421F1" w:rsidRPr="00BB1B43" w:rsidRDefault="009421F1" w:rsidP="001945C5">
            <w:pPr>
              <w:spacing w:line="360" w:lineRule="auto"/>
              <w:jc w:val="both"/>
            </w:pPr>
            <w:r w:rsidRPr="00BB1B43">
              <w:t>1(0.35)</w:t>
            </w:r>
          </w:p>
        </w:tc>
        <w:tc>
          <w:tcPr>
            <w:tcW w:w="990" w:type="dxa"/>
          </w:tcPr>
          <w:p w:rsidR="009421F1" w:rsidRPr="00BB1B43" w:rsidRDefault="009421F1" w:rsidP="001945C5">
            <w:pPr>
              <w:spacing w:line="360" w:lineRule="auto"/>
              <w:jc w:val="both"/>
            </w:pPr>
            <w:r w:rsidRPr="00BB1B43">
              <w:t>0(0.00)</w:t>
            </w:r>
          </w:p>
        </w:tc>
        <w:tc>
          <w:tcPr>
            <w:tcW w:w="810" w:type="dxa"/>
          </w:tcPr>
          <w:p w:rsidR="009421F1" w:rsidRPr="00BB1B43" w:rsidRDefault="009421F1" w:rsidP="001945C5">
            <w:pPr>
              <w:spacing w:line="360" w:lineRule="auto"/>
              <w:jc w:val="both"/>
            </w:pPr>
            <w:r w:rsidRPr="00BB1B43">
              <w:t>0(0.00)</w:t>
            </w:r>
          </w:p>
        </w:tc>
        <w:tc>
          <w:tcPr>
            <w:tcW w:w="1080" w:type="dxa"/>
          </w:tcPr>
          <w:p w:rsidR="009421F1" w:rsidRPr="00BB1B43" w:rsidRDefault="009421F1" w:rsidP="001945C5">
            <w:pPr>
              <w:spacing w:line="360" w:lineRule="auto"/>
              <w:jc w:val="both"/>
            </w:pPr>
            <w:r w:rsidRPr="00BB1B43">
              <w:t>1(3.22)</w:t>
            </w:r>
          </w:p>
        </w:tc>
        <w:tc>
          <w:tcPr>
            <w:tcW w:w="1170" w:type="dxa"/>
          </w:tcPr>
          <w:p w:rsidR="009421F1" w:rsidRPr="00BB1B43" w:rsidRDefault="009421F1" w:rsidP="001945C5">
            <w:pPr>
              <w:spacing w:line="360" w:lineRule="auto"/>
              <w:jc w:val="both"/>
            </w:pPr>
            <w:r w:rsidRPr="00BB1B43">
              <w:t>2(6.45)</w:t>
            </w:r>
          </w:p>
        </w:tc>
      </w:tr>
      <w:tr w:rsidR="009421F1" w:rsidRPr="00BB1B43" w:rsidTr="001945C5">
        <w:trPr>
          <w:trHeight w:val="351"/>
        </w:trPr>
        <w:tc>
          <w:tcPr>
            <w:tcW w:w="1080" w:type="dxa"/>
          </w:tcPr>
          <w:p w:rsidR="009421F1" w:rsidRPr="00BB1B43" w:rsidRDefault="009421F1" w:rsidP="001945C5">
            <w:pPr>
              <w:spacing w:line="360" w:lineRule="auto"/>
              <w:jc w:val="both"/>
            </w:pPr>
            <w:r w:rsidRPr="00BB1B43">
              <w:t>40 – 44</w:t>
            </w:r>
          </w:p>
        </w:tc>
        <w:tc>
          <w:tcPr>
            <w:tcW w:w="630" w:type="dxa"/>
          </w:tcPr>
          <w:p w:rsidR="009421F1" w:rsidRPr="00BB1B43" w:rsidRDefault="009421F1" w:rsidP="001945C5">
            <w:pPr>
              <w:spacing w:line="360" w:lineRule="auto"/>
              <w:jc w:val="both"/>
            </w:pPr>
            <w:r w:rsidRPr="00BB1B43">
              <w:t>3</w:t>
            </w:r>
          </w:p>
        </w:tc>
        <w:tc>
          <w:tcPr>
            <w:tcW w:w="1089" w:type="dxa"/>
          </w:tcPr>
          <w:p w:rsidR="009421F1" w:rsidRPr="00BB1B43" w:rsidRDefault="009421F1" w:rsidP="001945C5">
            <w:pPr>
              <w:spacing w:line="360" w:lineRule="auto"/>
              <w:jc w:val="both"/>
            </w:pPr>
            <w:r w:rsidRPr="00BB1B43">
              <w:t>0(0.00)</w:t>
            </w:r>
          </w:p>
        </w:tc>
        <w:tc>
          <w:tcPr>
            <w:tcW w:w="981" w:type="dxa"/>
          </w:tcPr>
          <w:p w:rsidR="009421F1" w:rsidRPr="00BB1B43" w:rsidRDefault="009421F1" w:rsidP="001945C5">
            <w:pPr>
              <w:spacing w:line="360" w:lineRule="auto"/>
              <w:jc w:val="both"/>
            </w:pPr>
            <w:r w:rsidRPr="00BB1B43">
              <w:t>1(0.35)</w:t>
            </w:r>
          </w:p>
        </w:tc>
        <w:tc>
          <w:tcPr>
            <w:tcW w:w="1080" w:type="dxa"/>
          </w:tcPr>
          <w:p w:rsidR="009421F1" w:rsidRPr="00BB1B43" w:rsidRDefault="009421F1" w:rsidP="001945C5">
            <w:pPr>
              <w:spacing w:line="360" w:lineRule="auto"/>
              <w:jc w:val="both"/>
            </w:pPr>
            <w:r w:rsidRPr="00BB1B43">
              <w:t>1(33.33)</w:t>
            </w:r>
          </w:p>
        </w:tc>
        <w:tc>
          <w:tcPr>
            <w:tcW w:w="1080" w:type="dxa"/>
          </w:tcPr>
          <w:p w:rsidR="009421F1" w:rsidRPr="00BB1B43" w:rsidRDefault="009421F1" w:rsidP="001945C5">
            <w:pPr>
              <w:spacing w:line="360" w:lineRule="auto"/>
              <w:jc w:val="both"/>
            </w:pPr>
            <w:r w:rsidRPr="00BB1B43">
              <w:t xml:space="preserve">0(0.00) </w:t>
            </w:r>
          </w:p>
        </w:tc>
        <w:tc>
          <w:tcPr>
            <w:tcW w:w="1170" w:type="dxa"/>
          </w:tcPr>
          <w:p w:rsidR="009421F1" w:rsidRPr="00BB1B43" w:rsidRDefault="009421F1" w:rsidP="001945C5">
            <w:pPr>
              <w:spacing w:line="360" w:lineRule="auto"/>
              <w:jc w:val="both"/>
            </w:pPr>
            <w:r w:rsidRPr="00BB1B43">
              <w:t>0(0.00)</w:t>
            </w:r>
          </w:p>
        </w:tc>
        <w:tc>
          <w:tcPr>
            <w:tcW w:w="990" w:type="dxa"/>
          </w:tcPr>
          <w:p w:rsidR="009421F1" w:rsidRPr="00BB1B43" w:rsidRDefault="009421F1" w:rsidP="001945C5">
            <w:pPr>
              <w:spacing w:line="360" w:lineRule="auto"/>
              <w:jc w:val="both"/>
            </w:pPr>
            <w:r w:rsidRPr="00BB1B43">
              <w:t>0(0.00)</w:t>
            </w:r>
          </w:p>
        </w:tc>
        <w:tc>
          <w:tcPr>
            <w:tcW w:w="810" w:type="dxa"/>
          </w:tcPr>
          <w:p w:rsidR="009421F1" w:rsidRPr="00BB1B43" w:rsidRDefault="009421F1" w:rsidP="001945C5">
            <w:pPr>
              <w:spacing w:line="360" w:lineRule="auto"/>
              <w:jc w:val="both"/>
            </w:pPr>
            <w:r w:rsidRPr="00BB1B43">
              <w:t>0(0.00)</w:t>
            </w:r>
          </w:p>
        </w:tc>
        <w:tc>
          <w:tcPr>
            <w:tcW w:w="1080" w:type="dxa"/>
          </w:tcPr>
          <w:p w:rsidR="009421F1" w:rsidRPr="00BB1B43" w:rsidRDefault="009421F1" w:rsidP="001945C5">
            <w:pPr>
              <w:spacing w:line="360" w:lineRule="auto"/>
              <w:jc w:val="both"/>
            </w:pPr>
            <w:r w:rsidRPr="00BB1B43">
              <w:t>0(0.00)</w:t>
            </w:r>
          </w:p>
        </w:tc>
        <w:tc>
          <w:tcPr>
            <w:tcW w:w="1170" w:type="dxa"/>
          </w:tcPr>
          <w:p w:rsidR="009421F1" w:rsidRPr="00BB1B43" w:rsidRDefault="009421F1" w:rsidP="001945C5">
            <w:pPr>
              <w:spacing w:line="360" w:lineRule="auto"/>
              <w:jc w:val="both"/>
            </w:pPr>
            <w:r w:rsidRPr="00BB1B43">
              <w:t>0(0.00)</w:t>
            </w:r>
          </w:p>
        </w:tc>
      </w:tr>
      <w:tr w:rsidR="009421F1" w:rsidRPr="00BB1B43" w:rsidTr="001945C5">
        <w:trPr>
          <w:trHeight w:val="360"/>
        </w:trPr>
        <w:tc>
          <w:tcPr>
            <w:tcW w:w="1080" w:type="dxa"/>
          </w:tcPr>
          <w:p w:rsidR="009421F1" w:rsidRPr="00BB1B43" w:rsidRDefault="009421F1" w:rsidP="001945C5">
            <w:pPr>
              <w:spacing w:line="360" w:lineRule="auto"/>
              <w:jc w:val="both"/>
            </w:pPr>
            <w:r w:rsidRPr="00BB1B43">
              <w:t xml:space="preserve">45 – 49 </w:t>
            </w:r>
          </w:p>
        </w:tc>
        <w:tc>
          <w:tcPr>
            <w:tcW w:w="630" w:type="dxa"/>
          </w:tcPr>
          <w:p w:rsidR="009421F1" w:rsidRPr="00BB1B43" w:rsidRDefault="009421F1" w:rsidP="001945C5">
            <w:pPr>
              <w:spacing w:line="360" w:lineRule="auto"/>
              <w:jc w:val="both"/>
            </w:pPr>
            <w:r w:rsidRPr="00BB1B43">
              <w:t>1</w:t>
            </w:r>
          </w:p>
        </w:tc>
        <w:tc>
          <w:tcPr>
            <w:tcW w:w="1089" w:type="dxa"/>
          </w:tcPr>
          <w:p w:rsidR="009421F1" w:rsidRPr="00BB1B43" w:rsidRDefault="009421F1" w:rsidP="001945C5">
            <w:pPr>
              <w:spacing w:line="480" w:lineRule="auto"/>
              <w:jc w:val="both"/>
            </w:pPr>
            <w:r w:rsidRPr="00BB1B43">
              <w:t>1(0.35)</w:t>
            </w:r>
          </w:p>
        </w:tc>
        <w:tc>
          <w:tcPr>
            <w:tcW w:w="981" w:type="dxa"/>
          </w:tcPr>
          <w:p w:rsidR="009421F1" w:rsidRPr="00BB1B43" w:rsidRDefault="009421F1" w:rsidP="001945C5">
            <w:pPr>
              <w:spacing w:line="360" w:lineRule="auto"/>
              <w:jc w:val="both"/>
            </w:pPr>
            <w:r w:rsidRPr="00BB1B43">
              <w:t xml:space="preserve">0(0.00) </w:t>
            </w:r>
          </w:p>
        </w:tc>
        <w:tc>
          <w:tcPr>
            <w:tcW w:w="1080" w:type="dxa"/>
          </w:tcPr>
          <w:p w:rsidR="009421F1" w:rsidRPr="00BB1B43" w:rsidRDefault="009421F1" w:rsidP="001945C5">
            <w:pPr>
              <w:spacing w:line="360" w:lineRule="auto"/>
              <w:jc w:val="both"/>
            </w:pPr>
            <w:r w:rsidRPr="00BB1B43">
              <w:t>0 (0.00)</w:t>
            </w:r>
          </w:p>
        </w:tc>
        <w:tc>
          <w:tcPr>
            <w:tcW w:w="1080" w:type="dxa"/>
          </w:tcPr>
          <w:p w:rsidR="009421F1" w:rsidRPr="00BB1B43" w:rsidRDefault="009421F1" w:rsidP="001945C5">
            <w:pPr>
              <w:spacing w:line="360" w:lineRule="auto"/>
              <w:jc w:val="both"/>
            </w:pPr>
            <w:r w:rsidRPr="00BB1B43">
              <w:t>1(0.35)</w:t>
            </w:r>
          </w:p>
        </w:tc>
        <w:tc>
          <w:tcPr>
            <w:tcW w:w="1170" w:type="dxa"/>
          </w:tcPr>
          <w:p w:rsidR="009421F1" w:rsidRPr="00BB1B43" w:rsidRDefault="009421F1" w:rsidP="001945C5">
            <w:pPr>
              <w:spacing w:line="360" w:lineRule="auto"/>
              <w:jc w:val="both"/>
            </w:pPr>
            <w:r w:rsidRPr="00BB1B43">
              <w:t>1(0.35)</w:t>
            </w:r>
          </w:p>
        </w:tc>
        <w:tc>
          <w:tcPr>
            <w:tcW w:w="990" w:type="dxa"/>
          </w:tcPr>
          <w:p w:rsidR="009421F1" w:rsidRPr="00BB1B43" w:rsidRDefault="009421F1" w:rsidP="001945C5">
            <w:pPr>
              <w:spacing w:line="360" w:lineRule="auto"/>
              <w:jc w:val="both"/>
            </w:pPr>
            <w:r w:rsidRPr="00BB1B43">
              <w:t>0(0.00)</w:t>
            </w:r>
          </w:p>
        </w:tc>
        <w:tc>
          <w:tcPr>
            <w:tcW w:w="810" w:type="dxa"/>
          </w:tcPr>
          <w:p w:rsidR="009421F1" w:rsidRPr="00BB1B43" w:rsidRDefault="009421F1" w:rsidP="001945C5">
            <w:pPr>
              <w:spacing w:line="360" w:lineRule="auto"/>
              <w:jc w:val="both"/>
            </w:pPr>
            <w:r w:rsidRPr="00BB1B43">
              <w:t>0(0.00)</w:t>
            </w:r>
          </w:p>
        </w:tc>
        <w:tc>
          <w:tcPr>
            <w:tcW w:w="1080" w:type="dxa"/>
          </w:tcPr>
          <w:p w:rsidR="009421F1" w:rsidRPr="00BB1B43" w:rsidRDefault="009421F1" w:rsidP="001945C5">
            <w:pPr>
              <w:spacing w:line="360" w:lineRule="auto"/>
              <w:jc w:val="both"/>
            </w:pPr>
            <w:r w:rsidRPr="00BB1B43">
              <w:t>1(3.22)</w:t>
            </w:r>
          </w:p>
        </w:tc>
        <w:tc>
          <w:tcPr>
            <w:tcW w:w="1170" w:type="dxa"/>
          </w:tcPr>
          <w:p w:rsidR="009421F1" w:rsidRPr="00BB1B43" w:rsidRDefault="009421F1" w:rsidP="001945C5">
            <w:pPr>
              <w:spacing w:line="360" w:lineRule="auto"/>
              <w:jc w:val="both"/>
            </w:pPr>
            <w:r w:rsidRPr="00BB1B43">
              <w:t>1(3.22)</w:t>
            </w:r>
          </w:p>
        </w:tc>
      </w:tr>
      <w:tr w:rsidR="009421F1" w:rsidRPr="00BB1B43" w:rsidTr="001945C5">
        <w:tc>
          <w:tcPr>
            <w:tcW w:w="1080" w:type="dxa"/>
          </w:tcPr>
          <w:p w:rsidR="009421F1" w:rsidRPr="00BB1B43" w:rsidRDefault="009421F1" w:rsidP="001945C5">
            <w:pPr>
              <w:spacing w:line="360" w:lineRule="auto"/>
              <w:jc w:val="both"/>
              <w:rPr>
                <w:b/>
              </w:rPr>
            </w:pPr>
            <w:r w:rsidRPr="00BB1B43">
              <w:rPr>
                <w:b/>
              </w:rPr>
              <w:t xml:space="preserve">Total (%) </w:t>
            </w:r>
          </w:p>
        </w:tc>
        <w:tc>
          <w:tcPr>
            <w:tcW w:w="630" w:type="dxa"/>
          </w:tcPr>
          <w:p w:rsidR="009421F1" w:rsidRPr="00BB1B43" w:rsidRDefault="009421F1" w:rsidP="001945C5">
            <w:pPr>
              <w:spacing w:line="360" w:lineRule="auto"/>
              <w:jc w:val="both"/>
              <w:rPr>
                <w:b/>
              </w:rPr>
            </w:pPr>
            <w:r w:rsidRPr="00BB1B43">
              <w:rPr>
                <w:b/>
              </w:rPr>
              <w:t>288</w:t>
            </w:r>
          </w:p>
        </w:tc>
        <w:tc>
          <w:tcPr>
            <w:tcW w:w="1089" w:type="dxa"/>
          </w:tcPr>
          <w:p w:rsidR="009421F1" w:rsidRPr="00BB1B43" w:rsidRDefault="009421F1" w:rsidP="001945C5">
            <w:pPr>
              <w:spacing w:line="360" w:lineRule="auto"/>
              <w:jc w:val="both"/>
              <w:rPr>
                <w:b/>
              </w:rPr>
            </w:pPr>
            <w:r w:rsidRPr="00BB1B43">
              <w:rPr>
                <w:b/>
              </w:rPr>
              <w:t>31(10.76)</w:t>
            </w:r>
          </w:p>
        </w:tc>
        <w:tc>
          <w:tcPr>
            <w:tcW w:w="981" w:type="dxa"/>
          </w:tcPr>
          <w:p w:rsidR="009421F1" w:rsidRPr="00BB1B43" w:rsidRDefault="009421F1" w:rsidP="001945C5">
            <w:pPr>
              <w:spacing w:line="360" w:lineRule="auto"/>
              <w:jc w:val="both"/>
              <w:rPr>
                <w:b/>
              </w:rPr>
            </w:pPr>
            <w:r w:rsidRPr="00BB1B43">
              <w:rPr>
                <w:b/>
              </w:rPr>
              <w:t>2(0.70)</w:t>
            </w:r>
          </w:p>
        </w:tc>
        <w:tc>
          <w:tcPr>
            <w:tcW w:w="1080" w:type="dxa"/>
          </w:tcPr>
          <w:p w:rsidR="009421F1" w:rsidRPr="00BB1B43" w:rsidRDefault="009421F1" w:rsidP="001945C5">
            <w:pPr>
              <w:spacing w:line="360" w:lineRule="auto"/>
              <w:jc w:val="both"/>
              <w:rPr>
                <w:b/>
              </w:rPr>
            </w:pPr>
            <w:r w:rsidRPr="00BB1B43">
              <w:rPr>
                <w:b/>
              </w:rPr>
              <w:t>50(17.36)</w:t>
            </w:r>
          </w:p>
        </w:tc>
        <w:tc>
          <w:tcPr>
            <w:tcW w:w="1080" w:type="dxa"/>
          </w:tcPr>
          <w:p w:rsidR="009421F1" w:rsidRPr="00BB1B43" w:rsidRDefault="009421F1" w:rsidP="001945C5">
            <w:pPr>
              <w:spacing w:line="360" w:lineRule="auto"/>
              <w:jc w:val="both"/>
              <w:rPr>
                <w:b/>
              </w:rPr>
            </w:pPr>
            <w:r w:rsidRPr="00BB1B43">
              <w:rPr>
                <w:b/>
              </w:rPr>
              <w:t xml:space="preserve">31(10.76) </w:t>
            </w:r>
          </w:p>
        </w:tc>
        <w:tc>
          <w:tcPr>
            <w:tcW w:w="1170" w:type="dxa"/>
          </w:tcPr>
          <w:p w:rsidR="009421F1" w:rsidRPr="00BB1B43" w:rsidRDefault="009421F1" w:rsidP="001945C5">
            <w:pPr>
              <w:spacing w:line="360" w:lineRule="auto"/>
              <w:jc w:val="both"/>
              <w:rPr>
                <w:b/>
              </w:rPr>
            </w:pPr>
            <w:r w:rsidRPr="00BB1B43">
              <w:rPr>
                <w:b/>
              </w:rPr>
              <w:t>31(10.76)</w:t>
            </w:r>
          </w:p>
        </w:tc>
        <w:tc>
          <w:tcPr>
            <w:tcW w:w="990" w:type="dxa"/>
          </w:tcPr>
          <w:p w:rsidR="009421F1" w:rsidRPr="00BB1B43" w:rsidRDefault="009421F1" w:rsidP="001945C5">
            <w:pPr>
              <w:spacing w:line="360" w:lineRule="auto"/>
              <w:jc w:val="both"/>
              <w:rPr>
                <w:b/>
              </w:rPr>
            </w:pPr>
            <w:r w:rsidRPr="00BB1B43">
              <w:rPr>
                <w:b/>
              </w:rPr>
              <w:t>0(0.00)</w:t>
            </w:r>
          </w:p>
        </w:tc>
        <w:tc>
          <w:tcPr>
            <w:tcW w:w="810" w:type="dxa"/>
          </w:tcPr>
          <w:p w:rsidR="009421F1" w:rsidRPr="00BB1B43" w:rsidRDefault="009421F1" w:rsidP="001945C5">
            <w:pPr>
              <w:spacing w:line="360" w:lineRule="auto"/>
              <w:jc w:val="both"/>
              <w:rPr>
                <w:b/>
              </w:rPr>
            </w:pPr>
            <w:r w:rsidRPr="00BB1B43">
              <w:rPr>
                <w:b/>
              </w:rPr>
              <w:t>3(9.68)</w:t>
            </w:r>
          </w:p>
        </w:tc>
        <w:tc>
          <w:tcPr>
            <w:tcW w:w="1080" w:type="dxa"/>
          </w:tcPr>
          <w:p w:rsidR="009421F1" w:rsidRPr="00BB1B43" w:rsidRDefault="009421F1" w:rsidP="001945C5">
            <w:pPr>
              <w:spacing w:line="360" w:lineRule="auto"/>
              <w:jc w:val="both"/>
              <w:rPr>
                <w:b/>
              </w:rPr>
            </w:pPr>
            <w:r w:rsidRPr="00BB1B43">
              <w:rPr>
                <w:b/>
              </w:rPr>
              <w:t>24(77.42)</w:t>
            </w:r>
          </w:p>
        </w:tc>
        <w:tc>
          <w:tcPr>
            <w:tcW w:w="1170" w:type="dxa"/>
          </w:tcPr>
          <w:p w:rsidR="009421F1" w:rsidRPr="00BB1B43" w:rsidRDefault="009421F1" w:rsidP="001945C5">
            <w:pPr>
              <w:spacing w:line="360" w:lineRule="auto"/>
              <w:jc w:val="both"/>
              <w:rPr>
                <w:b/>
              </w:rPr>
            </w:pPr>
            <w:r w:rsidRPr="00BB1B43">
              <w:rPr>
                <w:b/>
              </w:rPr>
              <w:t>24(77.42)</w:t>
            </w:r>
          </w:p>
        </w:tc>
      </w:tr>
    </w:tbl>
    <w:p w:rsidR="009421F1" w:rsidRPr="00BB1B43" w:rsidRDefault="009421F1" w:rsidP="009421F1">
      <w:pPr>
        <w:jc w:val="both"/>
        <w:rPr>
          <w:b/>
          <w:i/>
          <w:lang w:eastAsia="en-GB"/>
        </w:rPr>
      </w:pPr>
      <w:r w:rsidRPr="00BB1B43">
        <w:rPr>
          <w:b/>
          <w:i/>
          <w:lang w:eastAsia="en-GB"/>
        </w:rPr>
        <w:t>Key:</w:t>
      </w:r>
    </w:p>
    <w:p w:rsidR="009421F1" w:rsidRPr="00BB1B43" w:rsidRDefault="009421F1" w:rsidP="009421F1">
      <w:pPr>
        <w:ind w:left="720"/>
        <w:jc w:val="both"/>
        <w:rPr>
          <w:lang w:eastAsia="en-GB"/>
        </w:rPr>
      </w:pPr>
      <w:r w:rsidRPr="00BB1B43">
        <w:rPr>
          <w:b/>
          <w:i/>
          <w:lang w:eastAsia="en-GB"/>
        </w:rPr>
        <w:t>HBsAg</w:t>
      </w:r>
      <w:r>
        <w:rPr>
          <w:i/>
          <w:lang w:eastAsia="en-GB"/>
        </w:rPr>
        <w:t>: H</w:t>
      </w:r>
      <w:r w:rsidRPr="00BB1B43">
        <w:rPr>
          <w:i/>
          <w:lang w:eastAsia="en-GB"/>
        </w:rPr>
        <w:t xml:space="preserve">epatitis B surface antigen; </w:t>
      </w:r>
      <w:r w:rsidRPr="00BB1B43">
        <w:rPr>
          <w:b/>
          <w:i/>
          <w:lang w:eastAsia="en-GB"/>
        </w:rPr>
        <w:t>Anti HBs</w:t>
      </w:r>
      <w:r>
        <w:rPr>
          <w:i/>
          <w:lang w:eastAsia="en-GB"/>
        </w:rPr>
        <w:t>: antibody to H</w:t>
      </w:r>
      <w:r w:rsidRPr="00BB1B43">
        <w:rPr>
          <w:i/>
          <w:lang w:eastAsia="en-GB"/>
        </w:rPr>
        <w:t xml:space="preserve">epatitis B surface antigen; </w:t>
      </w:r>
      <w:r w:rsidRPr="00BB1B43">
        <w:rPr>
          <w:b/>
          <w:i/>
          <w:lang w:eastAsia="en-GB"/>
        </w:rPr>
        <w:t>HBeAg</w:t>
      </w:r>
      <w:r w:rsidRPr="00BB1B43">
        <w:rPr>
          <w:i/>
          <w:lang w:eastAsia="en-GB"/>
        </w:rPr>
        <w:t>: h</w:t>
      </w:r>
      <w:r>
        <w:rPr>
          <w:i/>
          <w:lang w:eastAsia="en-GB"/>
        </w:rPr>
        <w:t>\H</w:t>
      </w:r>
      <w:r w:rsidRPr="00BB1B43">
        <w:rPr>
          <w:i/>
          <w:lang w:eastAsia="en-GB"/>
        </w:rPr>
        <w:t xml:space="preserve">epatitis Be antigen; </w:t>
      </w:r>
      <w:r w:rsidRPr="00BB1B43">
        <w:rPr>
          <w:b/>
          <w:i/>
          <w:lang w:eastAsia="en-GB"/>
        </w:rPr>
        <w:t>Anti HBe</w:t>
      </w:r>
      <w:r w:rsidRPr="00BB1B43">
        <w:rPr>
          <w:i/>
          <w:lang w:eastAsia="en-GB"/>
        </w:rPr>
        <w:t xml:space="preserve">: antibody to HBeAg; </w:t>
      </w:r>
      <w:r w:rsidRPr="00BB1B43">
        <w:rPr>
          <w:b/>
          <w:i/>
          <w:lang w:eastAsia="en-GB"/>
        </w:rPr>
        <w:t>Anti – HBc</w:t>
      </w:r>
      <w:r>
        <w:rPr>
          <w:i/>
          <w:lang w:eastAsia="en-GB"/>
        </w:rPr>
        <w:t>: antibody to \H</w:t>
      </w:r>
      <w:r w:rsidRPr="00BB1B43">
        <w:rPr>
          <w:i/>
          <w:lang w:eastAsia="en-GB"/>
        </w:rPr>
        <w:t>epatitis B core antigen</w:t>
      </w:r>
      <w:r w:rsidRPr="00BB1B43">
        <w:rPr>
          <w:lang w:eastAsia="en-GB"/>
        </w:rPr>
        <w:t xml:space="preserve">. </w:t>
      </w:r>
    </w:p>
    <w:p w:rsidR="009421F1" w:rsidRPr="00BB1B43" w:rsidRDefault="009421F1" w:rsidP="009421F1">
      <w:pPr>
        <w:spacing w:before="100" w:beforeAutospacing="1"/>
        <w:jc w:val="both"/>
        <w:rPr>
          <w:b/>
          <w:lang w:eastAsia="en-GB"/>
        </w:rPr>
      </w:pPr>
      <w:r w:rsidRPr="00BB1B43">
        <w:rPr>
          <w:lang w:eastAsia="en-GB"/>
        </w:rPr>
        <w:t>Table 3.2 determines liver enzymes activity among the HBsAg sero-positive subjects</w:t>
      </w:r>
      <w:r w:rsidRPr="00BB1B43">
        <w:rPr>
          <w:b/>
          <w:lang w:eastAsia="en-GB"/>
        </w:rPr>
        <w:t xml:space="preserve">. </w:t>
      </w:r>
      <w:r w:rsidRPr="00BB1B43">
        <w:rPr>
          <w:lang w:eastAsia="en-GB"/>
        </w:rPr>
        <w:t xml:space="preserve">Abnormal ALT and AST test were elevated in serum samples of subjects with HBsAg (+), and HBeAg (+) groups. However, the abnormalities in ALP were found to be non-significantly different between HBsAg (+) and HBeAg (+) VS HBsAg (+) and HBeAg (-) groups. The rate of abnormal ALT (70.97%) was higher than that of abnormal AST (58.06) and abnormal ALP (32.30) in HBsAg (+) subjects (P = 0.00). </w:t>
      </w:r>
    </w:p>
    <w:p w:rsidR="009421F1" w:rsidRPr="00BB1B43" w:rsidRDefault="009421F1" w:rsidP="009421F1">
      <w:pPr>
        <w:spacing w:before="100" w:beforeAutospacing="1"/>
        <w:jc w:val="both"/>
        <w:rPr>
          <w:b/>
          <w:lang w:eastAsia="en-GB"/>
        </w:rPr>
      </w:pPr>
      <w:r w:rsidRPr="00BB1B43">
        <w:rPr>
          <w:b/>
          <w:i/>
        </w:rPr>
        <w:t>Table 3.2: Determination of the Liver Enzymes Activity among HBsAg Sero-positive Subjects n = 31</w:t>
      </w:r>
      <w:r w:rsidRPr="00BB1B43">
        <w:rPr>
          <w:b/>
        </w:rPr>
        <w:t xml:space="preserve"> </w:t>
      </w:r>
    </w:p>
    <w:tbl>
      <w:tblPr>
        <w:tblW w:w="4974" w:type="pct"/>
        <w:tblBorders>
          <w:top w:val="single" w:sz="4" w:space="0" w:color="auto"/>
          <w:bottom w:val="single" w:sz="4" w:space="0" w:color="auto"/>
        </w:tblBorders>
        <w:tblLook w:val="01E0"/>
      </w:tblPr>
      <w:tblGrid>
        <w:gridCol w:w="3041"/>
        <w:gridCol w:w="1307"/>
        <w:gridCol w:w="1470"/>
        <w:gridCol w:w="1521"/>
        <w:gridCol w:w="1471"/>
      </w:tblGrid>
      <w:tr w:rsidR="009421F1" w:rsidRPr="00BB1B43" w:rsidTr="001945C5">
        <w:trPr>
          <w:trHeight w:val="1484"/>
        </w:trPr>
        <w:tc>
          <w:tcPr>
            <w:tcW w:w="1726" w:type="pct"/>
            <w:tcBorders>
              <w:top w:val="single" w:sz="4" w:space="0" w:color="auto"/>
              <w:bottom w:val="single" w:sz="4" w:space="0" w:color="auto"/>
            </w:tcBorders>
          </w:tcPr>
          <w:p w:rsidR="009421F1" w:rsidRPr="00BB1B43" w:rsidRDefault="009421F1" w:rsidP="001945C5">
            <w:pPr>
              <w:jc w:val="both"/>
              <w:rPr>
                <w:b/>
              </w:rPr>
            </w:pPr>
            <w:r w:rsidRPr="00BB1B43">
              <w:rPr>
                <w:b/>
              </w:rPr>
              <w:t>Mode</w:t>
            </w:r>
          </w:p>
        </w:tc>
        <w:tc>
          <w:tcPr>
            <w:tcW w:w="742" w:type="pct"/>
            <w:tcBorders>
              <w:top w:val="single" w:sz="4" w:space="0" w:color="auto"/>
              <w:bottom w:val="single" w:sz="4" w:space="0" w:color="auto"/>
            </w:tcBorders>
          </w:tcPr>
          <w:p w:rsidR="009421F1" w:rsidRPr="00BB1B43" w:rsidRDefault="009421F1" w:rsidP="001945C5">
            <w:pPr>
              <w:jc w:val="both"/>
              <w:rPr>
                <w:b/>
              </w:rPr>
            </w:pPr>
            <w:r w:rsidRPr="00BB1B43">
              <w:rPr>
                <w:b/>
              </w:rPr>
              <w:t>Number Screened</w:t>
            </w:r>
          </w:p>
        </w:tc>
        <w:tc>
          <w:tcPr>
            <w:tcW w:w="834" w:type="pct"/>
            <w:tcBorders>
              <w:top w:val="single" w:sz="4" w:space="0" w:color="auto"/>
              <w:bottom w:val="single" w:sz="4" w:space="0" w:color="auto"/>
            </w:tcBorders>
          </w:tcPr>
          <w:p w:rsidR="009421F1" w:rsidRPr="00BB1B43" w:rsidRDefault="009421F1" w:rsidP="001945C5">
            <w:pPr>
              <w:spacing w:before="240"/>
              <w:jc w:val="both"/>
              <w:rPr>
                <w:b/>
              </w:rPr>
            </w:pPr>
          </w:p>
          <w:p w:rsidR="009421F1" w:rsidRPr="00BB1B43" w:rsidRDefault="009421F1" w:rsidP="001945C5">
            <w:pPr>
              <w:spacing w:before="240"/>
              <w:jc w:val="both"/>
            </w:pPr>
            <w:r w:rsidRPr="00BB1B43">
              <w:rPr>
                <w:b/>
              </w:rPr>
              <w:t>Abnormal ALT n (%)</w:t>
            </w:r>
          </w:p>
        </w:tc>
        <w:tc>
          <w:tcPr>
            <w:tcW w:w="863" w:type="pct"/>
            <w:tcBorders>
              <w:top w:val="single" w:sz="4" w:space="0" w:color="auto"/>
              <w:bottom w:val="single" w:sz="4" w:space="0" w:color="auto"/>
            </w:tcBorders>
          </w:tcPr>
          <w:p w:rsidR="009421F1" w:rsidRPr="00BB1B43" w:rsidRDefault="009421F1" w:rsidP="001945C5">
            <w:pPr>
              <w:jc w:val="both"/>
              <w:rPr>
                <w:b/>
              </w:rPr>
            </w:pPr>
            <w:r w:rsidRPr="00BB1B43">
              <w:rPr>
                <w:b/>
              </w:rPr>
              <w:t>LiverEnzymes</w:t>
            </w:r>
          </w:p>
          <w:p w:rsidR="009421F1" w:rsidRPr="00BB1B43" w:rsidRDefault="009421F1" w:rsidP="001945C5">
            <w:pPr>
              <w:jc w:val="both"/>
              <w:rPr>
                <w:b/>
              </w:rPr>
            </w:pPr>
          </w:p>
          <w:p w:rsidR="009421F1" w:rsidRPr="00BB1B43" w:rsidRDefault="009421F1" w:rsidP="001945C5">
            <w:pPr>
              <w:jc w:val="both"/>
            </w:pPr>
            <w:r w:rsidRPr="00BB1B43">
              <w:rPr>
                <w:b/>
              </w:rPr>
              <w:t>Abnormal AST n (%)</w:t>
            </w:r>
          </w:p>
        </w:tc>
        <w:tc>
          <w:tcPr>
            <w:tcW w:w="836" w:type="pct"/>
            <w:tcBorders>
              <w:top w:val="single" w:sz="4" w:space="0" w:color="auto"/>
              <w:bottom w:val="single" w:sz="4" w:space="0" w:color="auto"/>
            </w:tcBorders>
          </w:tcPr>
          <w:p w:rsidR="009421F1" w:rsidRPr="00BB1B43" w:rsidRDefault="009421F1" w:rsidP="001945C5">
            <w:pPr>
              <w:jc w:val="both"/>
              <w:rPr>
                <w:b/>
              </w:rPr>
            </w:pPr>
          </w:p>
          <w:p w:rsidR="009421F1" w:rsidRPr="00BB1B43" w:rsidRDefault="009421F1" w:rsidP="001945C5">
            <w:pPr>
              <w:jc w:val="both"/>
            </w:pPr>
          </w:p>
          <w:p w:rsidR="009421F1" w:rsidRPr="00BB1B43" w:rsidRDefault="009421F1" w:rsidP="001945C5">
            <w:pPr>
              <w:jc w:val="both"/>
              <w:rPr>
                <w:b/>
              </w:rPr>
            </w:pPr>
          </w:p>
          <w:p w:rsidR="009421F1" w:rsidRPr="00BB1B43" w:rsidRDefault="009421F1" w:rsidP="001945C5">
            <w:pPr>
              <w:jc w:val="both"/>
              <w:rPr>
                <w:b/>
              </w:rPr>
            </w:pPr>
            <w:r w:rsidRPr="00BB1B43">
              <w:rPr>
                <w:b/>
              </w:rPr>
              <w:t xml:space="preserve">Abnormal </w:t>
            </w:r>
          </w:p>
          <w:p w:rsidR="009421F1" w:rsidRPr="00BB1B43" w:rsidRDefault="009421F1" w:rsidP="001945C5">
            <w:pPr>
              <w:jc w:val="both"/>
            </w:pPr>
            <w:r w:rsidRPr="00BB1B43">
              <w:rPr>
                <w:b/>
              </w:rPr>
              <w:t>ALP n (%)</w:t>
            </w:r>
          </w:p>
        </w:tc>
      </w:tr>
      <w:tr w:rsidR="009421F1" w:rsidRPr="00BB1B43" w:rsidTr="001945C5">
        <w:trPr>
          <w:trHeight w:val="501"/>
        </w:trPr>
        <w:tc>
          <w:tcPr>
            <w:tcW w:w="1726" w:type="pct"/>
            <w:tcBorders>
              <w:top w:val="single" w:sz="4" w:space="0" w:color="auto"/>
            </w:tcBorders>
          </w:tcPr>
          <w:p w:rsidR="009421F1" w:rsidRPr="00BB1B43" w:rsidRDefault="009421F1" w:rsidP="001945C5">
            <w:pPr>
              <w:jc w:val="both"/>
              <w:rPr>
                <w:b/>
              </w:rPr>
            </w:pPr>
            <w:r w:rsidRPr="00BB1B43">
              <w:rPr>
                <w:b/>
              </w:rPr>
              <w:t>HBsAg (+)</w:t>
            </w:r>
          </w:p>
        </w:tc>
        <w:tc>
          <w:tcPr>
            <w:tcW w:w="742" w:type="pct"/>
            <w:tcBorders>
              <w:top w:val="single" w:sz="4" w:space="0" w:color="auto"/>
            </w:tcBorders>
          </w:tcPr>
          <w:p w:rsidR="009421F1" w:rsidRPr="00BB1B43" w:rsidRDefault="009421F1" w:rsidP="001945C5">
            <w:pPr>
              <w:jc w:val="both"/>
            </w:pPr>
            <w:r w:rsidRPr="00BB1B43">
              <w:t>31(100)</w:t>
            </w:r>
          </w:p>
        </w:tc>
        <w:tc>
          <w:tcPr>
            <w:tcW w:w="834" w:type="pct"/>
            <w:tcBorders>
              <w:top w:val="single" w:sz="4" w:space="0" w:color="auto"/>
            </w:tcBorders>
          </w:tcPr>
          <w:p w:rsidR="009421F1" w:rsidRPr="00BB1B43" w:rsidRDefault="009421F1" w:rsidP="001945C5">
            <w:pPr>
              <w:jc w:val="both"/>
            </w:pPr>
            <w:r w:rsidRPr="00BB1B43">
              <w:t>22 (70.97)</w:t>
            </w:r>
          </w:p>
        </w:tc>
        <w:tc>
          <w:tcPr>
            <w:tcW w:w="863" w:type="pct"/>
            <w:tcBorders>
              <w:top w:val="single" w:sz="4" w:space="0" w:color="auto"/>
            </w:tcBorders>
          </w:tcPr>
          <w:p w:rsidR="009421F1" w:rsidRPr="00BB1B43" w:rsidRDefault="009421F1" w:rsidP="001945C5">
            <w:pPr>
              <w:jc w:val="both"/>
            </w:pPr>
            <w:r w:rsidRPr="00BB1B43">
              <w:t>18 (58.06)</w:t>
            </w:r>
          </w:p>
        </w:tc>
        <w:tc>
          <w:tcPr>
            <w:tcW w:w="836" w:type="pct"/>
            <w:tcBorders>
              <w:top w:val="single" w:sz="4" w:space="0" w:color="auto"/>
            </w:tcBorders>
          </w:tcPr>
          <w:p w:rsidR="009421F1" w:rsidRPr="00BB1B43" w:rsidRDefault="009421F1" w:rsidP="001945C5">
            <w:pPr>
              <w:jc w:val="both"/>
            </w:pPr>
            <w:r w:rsidRPr="00BB1B43">
              <w:t>10 (32.25)</w:t>
            </w:r>
          </w:p>
        </w:tc>
      </w:tr>
      <w:tr w:rsidR="009421F1" w:rsidRPr="00BB1B43" w:rsidTr="001945C5">
        <w:trPr>
          <w:trHeight w:val="501"/>
        </w:trPr>
        <w:tc>
          <w:tcPr>
            <w:tcW w:w="1726" w:type="pct"/>
          </w:tcPr>
          <w:p w:rsidR="009421F1" w:rsidRPr="00BB1B43" w:rsidRDefault="009421F1" w:rsidP="001945C5">
            <w:pPr>
              <w:jc w:val="both"/>
              <w:rPr>
                <w:b/>
              </w:rPr>
            </w:pPr>
            <w:r w:rsidRPr="00BB1B43">
              <w:rPr>
                <w:b/>
              </w:rPr>
              <w:t>HBsAg (+) and HBeAg (+)</w:t>
            </w:r>
          </w:p>
        </w:tc>
        <w:tc>
          <w:tcPr>
            <w:tcW w:w="742" w:type="pct"/>
          </w:tcPr>
          <w:p w:rsidR="009421F1" w:rsidRPr="00BB1B43" w:rsidRDefault="009421F1" w:rsidP="001945C5">
            <w:pPr>
              <w:jc w:val="both"/>
            </w:pPr>
            <w:r w:rsidRPr="00BB1B43">
              <w:t>3(9.68)</w:t>
            </w:r>
          </w:p>
        </w:tc>
        <w:tc>
          <w:tcPr>
            <w:tcW w:w="834" w:type="pct"/>
          </w:tcPr>
          <w:p w:rsidR="009421F1" w:rsidRPr="00BB1B43" w:rsidRDefault="009421F1" w:rsidP="001945C5">
            <w:pPr>
              <w:jc w:val="both"/>
            </w:pPr>
            <w:r w:rsidRPr="00BB1B43">
              <w:t>3 (9.68)</w:t>
            </w:r>
          </w:p>
        </w:tc>
        <w:tc>
          <w:tcPr>
            <w:tcW w:w="863" w:type="pct"/>
          </w:tcPr>
          <w:p w:rsidR="009421F1" w:rsidRPr="00BB1B43" w:rsidRDefault="009421F1" w:rsidP="001945C5">
            <w:pPr>
              <w:jc w:val="both"/>
            </w:pPr>
            <w:r w:rsidRPr="00BB1B43">
              <w:t>2 (6.45)</w:t>
            </w:r>
          </w:p>
        </w:tc>
        <w:tc>
          <w:tcPr>
            <w:tcW w:w="836" w:type="pct"/>
          </w:tcPr>
          <w:p w:rsidR="009421F1" w:rsidRPr="00BB1B43" w:rsidRDefault="009421F1" w:rsidP="001945C5">
            <w:pPr>
              <w:jc w:val="both"/>
            </w:pPr>
            <w:r w:rsidRPr="00BB1B43">
              <w:t>1 (3.23)</w:t>
            </w:r>
          </w:p>
        </w:tc>
      </w:tr>
      <w:tr w:rsidR="009421F1" w:rsidRPr="00BB1B43" w:rsidTr="001945C5">
        <w:trPr>
          <w:trHeight w:val="501"/>
        </w:trPr>
        <w:tc>
          <w:tcPr>
            <w:tcW w:w="1726" w:type="pct"/>
          </w:tcPr>
          <w:p w:rsidR="009421F1" w:rsidRPr="00BB1B43" w:rsidRDefault="009421F1" w:rsidP="001945C5">
            <w:pPr>
              <w:jc w:val="both"/>
              <w:rPr>
                <w:b/>
              </w:rPr>
            </w:pPr>
            <w:r w:rsidRPr="00BB1B43">
              <w:rPr>
                <w:b/>
              </w:rPr>
              <w:t>HBsAg(+) and HBeAg (-)</w:t>
            </w:r>
          </w:p>
        </w:tc>
        <w:tc>
          <w:tcPr>
            <w:tcW w:w="742" w:type="pct"/>
          </w:tcPr>
          <w:p w:rsidR="009421F1" w:rsidRPr="00BB1B43" w:rsidRDefault="009421F1" w:rsidP="001945C5">
            <w:pPr>
              <w:jc w:val="both"/>
            </w:pPr>
            <w:r w:rsidRPr="00BB1B43">
              <w:t>28(90.32)</w:t>
            </w:r>
          </w:p>
        </w:tc>
        <w:tc>
          <w:tcPr>
            <w:tcW w:w="834" w:type="pct"/>
          </w:tcPr>
          <w:p w:rsidR="009421F1" w:rsidRPr="00BB1B43" w:rsidRDefault="009421F1" w:rsidP="001945C5">
            <w:pPr>
              <w:jc w:val="both"/>
            </w:pPr>
            <w:r w:rsidRPr="00BB1B43">
              <w:t>12 (38.71)</w:t>
            </w:r>
          </w:p>
        </w:tc>
        <w:tc>
          <w:tcPr>
            <w:tcW w:w="863" w:type="pct"/>
          </w:tcPr>
          <w:p w:rsidR="009421F1" w:rsidRPr="00BB1B43" w:rsidRDefault="009421F1" w:rsidP="001945C5">
            <w:pPr>
              <w:jc w:val="both"/>
            </w:pPr>
            <w:r w:rsidRPr="00BB1B43">
              <w:t>8 (25.81)</w:t>
            </w:r>
          </w:p>
        </w:tc>
        <w:tc>
          <w:tcPr>
            <w:tcW w:w="836" w:type="pct"/>
          </w:tcPr>
          <w:p w:rsidR="009421F1" w:rsidRPr="00BB1B43" w:rsidRDefault="009421F1" w:rsidP="001945C5">
            <w:pPr>
              <w:jc w:val="both"/>
            </w:pPr>
            <w:r w:rsidRPr="00BB1B43">
              <w:t>2 (6.45)</w:t>
            </w:r>
          </w:p>
        </w:tc>
      </w:tr>
      <w:tr w:rsidR="009421F1" w:rsidRPr="00BB1B43" w:rsidTr="001945C5">
        <w:trPr>
          <w:trHeight w:val="824"/>
        </w:trPr>
        <w:tc>
          <w:tcPr>
            <w:tcW w:w="1726" w:type="pct"/>
          </w:tcPr>
          <w:p w:rsidR="009421F1" w:rsidRPr="00BB1B43" w:rsidRDefault="009421F1" w:rsidP="001945C5">
            <w:pPr>
              <w:jc w:val="both"/>
              <w:rPr>
                <w:b/>
              </w:rPr>
            </w:pPr>
            <w:r w:rsidRPr="00BB1B43">
              <w:rPr>
                <w:b/>
              </w:rPr>
              <w:t xml:space="preserve">Normal values </w:t>
            </w:r>
          </w:p>
        </w:tc>
        <w:tc>
          <w:tcPr>
            <w:tcW w:w="742" w:type="pct"/>
          </w:tcPr>
          <w:p w:rsidR="009421F1" w:rsidRPr="00BB1B43" w:rsidRDefault="009421F1" w:rsidP="001945C5">
            <w:pPr>
              <w:jc w:val="both"/>
            </w:pPr>
          </w:p>
        </w:tc>
        <w:tc>
          <w:tcPr>
            <w:tcW w:w="834" w:type="pct"/>
          </w:tcPr>
          <w:p w:rsidR="009421F1" w:rsidRPr="00BB1B43" w:rsidRDefault="009421F1" w:rsidP="001945C5">
            <w:pPr>
              <w:jc w:val="both"/>
            </w:pPr>
            <w:r w:rsidRPr="00BB1B43">
              <w:t>0 to 12 u/L</w:t>
            </w:r>
          </w:p>
        </w:tc>
        <w:tc>
          <w:tcPr>
            <w:tcW w:w="863" w:type="pct"/>
          </w:tcPr>
          <w:p w:rsidR="009421F1" w:rsidRPr="00BB1B43" w:rsidRDefault="009421F1" w:rsidP="001945C5">
            <w:pPr>
              <w:jc w:val="both"/>
            </w:pPr>
            <w:r w:rsidRPr="00BB1B43">
              <w:t xml:space="preserve">0 to 12 u/L </w:t>
            </w:r>
          </w:p>
        </w:tc>
        <w:tc>
          <w:tcPr>
            <w:tcW w:w="836" w:type="pct"/>
          </w:tcPr>
          <w:p w:rsidR="009421F1" w:rsidRPr="00BB1B43" w:rsidRDefault="009421F1" w:rsidP="001945C5">
            <w:pPr>
              <w:jc w:val="both"/>
            </w:pPr>
            <w:r w:rsidRPr="00BB1B43">
              <w:t>9 – 22 u/L</w:t>
            </w:r>
          </w:p>
        </w:tc>
      </w:tr>
    </w:tbl>
    <w:p w:rsidR="009421F1" w:rsidRPr="00BB1B43" w:rsidRDefault="009421F1" w:rsidP="009421F1">
      <w:pPr>
        <w:jc w:val="both"/>
        <w:rPr>
          <w:b/>
          <w:lang w:eastAsia="en-GB"/>
        </w:rPr>
      </w:pPr>
      <w:r w:rsidRPr="00BB1B43">
        <w:rPr>
          <w:b/>
          <w:lang w:eastAsia="en-GB"/>
        </w:rPr>
        <w:t xml:space="preserve">                                                        </w:t>
      </w:r>
    </w:p>
    <w:tbl>
      <w:tblPr>
        <w:tblW w:w="0" w:type="auto"/>
        <w:tblCellMar>
          <w:left w:w="0" w:type="dxa"/>
          <w:right w:w="0" w:type="dxa"/>
        </w:tblCellMar>
        <w:tblLook w:val="04A0"/>
      </w:tblPr>
      <w:tblGrid>
        <w:gridCol w:w="1370"/>
        <w:gridCol w:w="3945"/>
        <w:gridCol w:w="2992"/>
      </w:tblGrid>
      <w:tr w:rsidR="009421F1" w:rsidRPr="00BB1B43" w:rsidTr="001945C5">
        <w:tc>
          <w:tcPr>
            <w:tcW w:w="1370" w:type="dxa"/>
          </w:tcPr>
          <w:p w:rsidR="009421F1" w:rsidRPr="00BB1B43" w:rsidRDefault="009421F1" w:rsidP="001945C5">
            <w:pPr>
              <w:jc w:val="both"/>
              <w:rPr>
                <w:lang w:eastAsia="en-GB"/>
              </w:rPr>
            </w:pPr>
          </w:p>
        </w:tc>
        <w:tc>
          <w:tcPr>
            <w:tcW w:w="3945" w:type="dxa"/>
          </w:tcPr>
          <w:p w:rsidR="009421F1" w:rsidRPr="00BB1B43" w:rsidRDefault="009421F1" w:rsidP="001945C5">
            <w:pPr>
              <w:jc w:val="both"/>
              <w:rPr>
                <w:lang w:eastAsia="en-GB"/>
              </w:rPr>
            </w:pPr>
            <w:r w:rsidRPr="00BB1B43">
              <w:rPr>
                <w:lang w:eastAsia="en-GB"/>
              </w:rPr>
              <w:t> </w:t>
            </w:r>
          </w:p>
        </w:tc>
        <w:tc>
          <w:tcPr>
            <w:tcW w:w="2992" w:type="dxa"/>
          </w:tcPr>
          <w:p w:rsidR="009421F1" w:rsidRPr="00BB1B43" w:rsidRDefault="009421F1" w:rsidP="001945C5">
            <w:pPr>
              <w:jc w:val="both"/>
              <w:rPr>
                <w:lang w:eastAsia="en-GB"/>
              </w:rPr>
            </w:pPr>
            <w:r w:rsidRPr="00BB1B43">
              <w:rPr>
                <w:lang w:eastAsia="en-GB"/>
              </w:rPr>
              <w:t> </w:t>
            </w:r>
          </w:p>
        </w:tc>
      </w:tr>
      <w:tr w:rsidR="009421F1" w:rsidRPr="00BB1B43" w:rsidTr="001945C5">
        <w:trPr>
          <w:trHeight w:val="350"/>
        </w:trPr>
        <w:tc>
          <w:tcPr>
            <w:tcW w:w="1370" w:type="dxa"/>
          </w:tcPr>
          <w:p w:rsidR="009421F1" w:rsidRPr="00BB1B43" w:rsidRDefault="009421F1" w:rsidP="001945C5">
            <w:pPr>
              <w:jc w:val="both"/>
              <w:rPr>
                <w:b/>
                <w:i/>
                <w:lang w:eastAsia="en-GB"/>
              </w:rPr>
            </w:pPr>
            <w:r w:rsidRPr="00BB1B43">
              <w:rPr>
                <w:b/>
                <w:i/>
                <w:lang w:eastAsia="en-GB"/>
              </w:rPr>
              <w:lastRenderedPageBreak/>
              <w:t xml:space="preserve"> Key:    ALT:</w:t>
            </w:r>
          </w:p>
        </w:tc>
        <w:tc>
          <w:tcPr>
            <w:tcW w:w="3945" w:type="dxa"/>
          </w:tcPr>
          <w:p w:rsidR="009421F1" w:rsidRPr="00BB1B43" w:rsidRDefault="009421F1" w:rsidP="001945C5">
            <w:pPr>
              <w:jc w:val="both"/>
              <w:rPr>
                <w:i/>
                <w:lang w:eastAsia="en-GB"/>
              </w:rPr>
            </w:pPr>
            <w:r w:rsidRPr="00BB1B43">
              <w:rPr>
                <w:i/>
                <w:lang w:eastAsia="en-GB"/>
              </w:rPr>
              <w:t>Alanine aminotransferase</w:t>
            </w:r>
          </w:p>
        </w:tc>
        <w:tc>
          <w:tcPr>
            <w:tcW w:w="2992" w:type="dxa"/>
          </w:tcPr>
          <w:p w:rsidR="009421F1" w:rsidRPr="00BB1B43" w:rsidRDefault="009421F1" w:rsidP="001945C5">
            <w:pPr>
              <w:jc w:val="both"/>
              <w:rPr>
                <w:lang w:eastAsia="en-GB"/>
              </w:rPr>
            </w:pPr>
            <w:r w:rsidRPr="00BB1B43">
              <w:rPr>
                <w:lang w:eastAsia="en-GB"/>
              </w:rPr>
              <w:t> </w:t>
            </w:r>
          </w:p>
        </w:tc>
      </w:tr>
      <w:tr w:rsidR="009421F1" w:rsidRPr="00BB1B43" w:rsidTr="001945C5">
        <w:trPr>
          <w:trHeight w:val="224"/>
        </w:trPr>
        <w:tc>
          <w:tcPr>
            <w:tcW w:w="1370" w:type="dxa"/>
          </w:tcPr>
          <w:p w:rsidR="009421F1" w:rsidRPr="00BB1B43" w:rsidRDefault="009421F1" w:rsidP="001945C5">
            <w:pPr>
              <w:jc w:val="both"/>
              <w:rPr>
                <w:b/>
                <w:i/>
                <w:lang w:eastAsia="en-GB"/>
              </w:rPr>
            </w:pPr>
            <w:r w:rsidRPr="00BB1B43">
              <w:rPr>
                <w:b/>
                <w:i/>
                <w:lang w:eastAsia="en-GB"/>
              </w:rPr>
              <w:t xml:space="preserve">            AST: </w:t>
            </w:r>
          </w:p>
        </w:tc>
        <w:tc>
          <w:tcPr>
            <w:tcW w:w="3945" w:type="dxa"/>
          </w:tcPr>
          <w:p w:rsidR="009421F1" w:rsidRPr="00BB1B43" w:rsidRDefault="009421F1" w:rsidP="001945C5">
            <w:pPr>
              <w:jc w:val="both"/>
              <w:rPr>
                <w:i/>
                <w:lang w:eastAsia="en-GB"/>
              </w:rPr>
            </w:pPr>
            <w:r w:rsidRPr="00BB1B43">
              <w:rPr>
                <w:i/>
                <w:lang w:eastAsia="en-GB"/>
              </w:rPr>
              <w:t>Aspartate Aminotransfearse</w:t>
            </w:r>
          </w:p>
        </w:tc>
        <w:tc>
          <w:tcPr>
            <w:tcW w:w="2992" w:type="dxa"/>
          </w:tcPr>
          <w:p w:rsidR="009421F1" w:rsidRPr="00BB1B43" w:rsidRDefault="009421F1" w:rsidP="001945C5">
            <w:pPr>
              <w:jc w:val="both"/>
              <w:rPr>
                <w:i/>
                <w:lang w:eastAsia="en-GB"/>
              </w:rPr>
            </w:pPr>
            <w:r w:rsidRPr="00BB1B43">
              <w:rPr>
                <w:i/>
                <w:lang w:eastAsia="en-GB"/>
              </w:rPr>
              <w:t> </w:t>
            </w:r>
          </w:p>
        </w:tc>
      </w:tr>
      <w:tr w:rsidR="009421F1" w:rsidRPr="00BB1B43" w:rsidTr="001945C5">
        <w:trPr>
          <w:trHeight w:val="305"/>
        </w:trPr>
        <w:tc>
          <w:tcPr>
            <w:tcW w:w="1370" w:type="dxa"/>
          </w:tcPr>
          <w:p w:rsidR="009421F1" w:rsidRPr="00BB1B43" w:rsidRDefault="009421F1" w:rsidP="001945C5">
            <w:pPr>
              <w:jc w:val="both"/>
              <w:rPr>
                <w:b/>
                <w:i/>
                <w:lang w:eastAsia="en-GB"/>
              </w:rPr>
            </w:pPr>
            <w:r>
              <w:rPr>
                <w:b/>
                <w:i/>
                <w:lang w:eastAsia="en-GB"/>
              </w:rPr>
              <w:t xml:space="preserve">         </w:t>
            </w:r>
            <w:r w:rsidRPr="00BB1B43">
              <w:rPr>
                <w:b/>
                <w:i/>
                <w:lang w:eastAsia="en-GB"/>
              </w:rPr>
              <w:t>ALP:</w:t>
            </w:r>
          </w:p>
        </w:tc>
        <w:tc>
          <w:tcPr>
            <w:tcW w:w="3945" w:type="dxa"/>
          </w:tcPr>
          <w:p w:rsidR="009421F1" w:rsidRPr="00BB1B43" w:rsidRDefault="009421F1" w:rsidP="001945C5">
            <w:pPr>
              <w:jc w:val="both"/>
              <w:rPr>
                <w:i/>
                <w:lang w:eastAsia="en-GB"/>
              </w:rPr>
            </w:pPr>
            <w:r w:rsidRPr="00BB1B43">
              <w:rPr>
                <w:i/>
                <w:lang w:eastAsia="en-GB"/>
              </w:rPr>
              <w:t>Alkanine Phosphate</w:t>
            </w:r>
          </w:p>
        </w:tc>
        <w:tc>
          <w:tcPr>
            <w:tcW w:w="2992" w:type="dxa"/>
          </w:tcPr>
          <w:p w:rsidR="009421F1" w:rsidRPr="00BB1B43" w:rsidRDefault="009421F1" w:rsidP="001945C5">
            <w:pPr>
              <w:jc w:val="both"/>
              <w:rPr>
                <w:i/>
                <w:lang w:eastAsia="en-GB"/>
              </w:rPr>
            </w:pPr>
            <w:r w:rsidRPr="00BB1B43">
              <w:rPr>
                <w:i/>
                <w:lang w:eastAsia="en-GB"/>
              </w:rPr>
              <w:t> </w:t>
            </w:r>
          </w:p>
        </w:tc>
      </w:tr>
    </w:tbl>
    <w:p w:rsidR="009421F1" w:rsidRPr="00BB1B43" w:rsidRDefault="009421F1" w:rsidP="009421F1">
      <w:pPr>
        <w:jc w:val="both"/>
        <w:rPr>
          <w:i/>
        </w:rPr>
      </w:pPr>
    </w:p>
    <w:p w:rsidR="009421F1" w:rsidRPr="00BB1B43" w:rsidRDefault="009421F1" w:rsidP="009421F1">
      <w:pPr>
        <w:jc w:val="both"/>
      </w:pPr>
      <w:r w:rsidRPr="00BB1B43">
        <w:t xml:space="preserve">Table 3.3 indicates Sero-prevalence of Rubella IgM Antibodies among Chronic HVB carriers in relation to Obstetric Losses with ages. </w:t>
      </w:r>
      <w:r w:rsidRPr="00BB1B43">
        <w:rPr>
          <w:lang w:eastAsia="en-GB"/>
        </w:rPr>
        <w:t>Obste</w:t>
      </w:r>
      <w:r>
        <w:rPr>
          <w:lang w:eastAsia="en-GB"/>
        </w:rPr>
        <w:t>tric histories</w:t>
      </w:r>
      <w:r w:rsidRPr="00BB1B43">
        <w:rPr>
          <w:lang w:eastAsia="en-GB"/>
        </w:rPr>
        <w:t xml:space="preserve"> among various age group</w:t>
      </w:r>
      <w:r>
        <w:rPr>
          <w:lang w:eastAsia="en-GB"/>
        </w:rPr>
        <w:t>s</w:t>
      </w:r>
      <w:r w:rsidRPr="00BB1B43">
        <w:rPr>
          <w:lang w:eastAsia="en-GB"/>
        </w:rPr>
        <w:t xml:space="preserve"> with respect to rubella IgM sero – prevalence was observed. Of the 50 sero – reactive rubella IgM stud</w:t>
      </w:r>
      <w:r>
        <w:rPr>
          <w:lang w:eastAsia="en-GB"/>
        </w:rPr>
        <w:t>ied, 35 had</w:t>
      </w:r>
      <w:r w:rsidRPr="00BB1B43">
        <w:rPr>
          <w:lang w:eastAsia="en-GB"/>
        </w:rPr>
        <w:t xml:space="preserve"> previous abnormal </w:t>
      </w:r>
      <w:r>
        <w:rPr>
          <w:lang w:eastAsia="en-GB"/>
        </w:rPr>
        <w:t>obstetric histories. Abortions had the</w:t>
      </w:r>
      <w:r w:rsidRPr="00BB1B43">
        <w:rPr>
          <w:lang w:eastAsia="en-GB"/>
        </w:rPr>
        <w:t xml:space="preserve"> highe</w:t>
      </w:r>
      <w:r>
        <w:rPr>
          <w:lang w:eastAsia="en-GB"/>
        </w:rPr>
        <w:t xml:space="preserve">st percentage </w:t>
      </w:r>
      <w:r w:rsidRPr="00BB1B43">
        <w:rPr>
          <w:lang w:eastAsia="en-GB"/>
        </w:rPr>
        <w:t>22(62.86</w:t>
      </w:r>
      <w:r>
        <w:rPr>
          <w:lang w:eastAsia="en-GB"/>
        </w:rPr>
        <w:t>%) with highest prevalence</w:t>
      </w:r>
      <w:r w:rsidRPr="00BB1B43">
        <w:rPr>
          <w:lang w:eastAsia="en-GB"/>
        </w:rPr>
        <w:t xml:space="preserve"> (2.39%) among 30 – 34 years age group and least (1) (2.86%) in 15 – 19 and 40-44 years age groups.  </w:t>
      </w:r>
    </w:p>
    <w:p w:rsidR="009421F1" w:rsidRPr="00BB1B43" w:rsidRDefault="009421F1" w:rsidP="009421F1">
      <w:pPr>
        <w:spacing w:before="100" w:beforeAutospacing="1"/>
        <w:jc w:val="both"/>
        <w:rPr>
          <w:b/>
          <w:lang w:eastAsia="en-GB"/>
        </w:rPr>
      </w:pPr>
      <w:r w:rsidRPr="00BB1B43">
        <w:rPr>
          <w:lang w:eastAsia="en-GB"/>
        </w:rPr>
        <w:t>Premature delivery was observed to be almost uniform across all the ages, but with 11.40 % prevalence rate. Still</w:t>
      </w:r>
      <w:r>
        <w:rPr>
          <w:lang w:eastAsia="en-GB"/>
        </w:rPr>
        <w:t xml:space="preserve"> birth was found to have</w:t>
      </w:r>
      <w:r w:rsidRPr="00BB1B43">
        <w:rPr>
          <w:lang w:eastAsia="en-GB"/>
        </w:rPr>
        <w:t xml:space="preserve"> the same prevalence rate with that of premature deliver</w:t>
      </w:r>
      <w:r>
        <w:rPr>
          <w:lang w:eastAsia="en-GB"/>
        </w:rPr>
        <w:t>y but with the highest prevalence</w:t>
      </w:r>
      <w:r w:rsidRPr="00BB1B43">
        <w:rPr>
          <w:lang w:eastAsia="en-GB"/>
        </w:rPr>
        <w:t xml:space="preserve"> among 20 – 24 age groups</w:t>
      </w:r>
      <w:r>
        <w:rPr>
          <w:lang w:eastAsia="en-GB"/>
        </w:rPr>
        <w:t xml:space="preserve"> </w:t>
      </w:r>
      <w:r w:rsidRPr="00BB1B43">
        <w:t>(2.86%)</w:t>
      </w:r>
      <w:r w:rsidRPr="00BB1B43">
        <w:rPr>
          <w:lang w:eastAsia="en-GB"/>
        </w:rPr>
        <w:t xml:space="preserve">. However, congenital anomalies, was found to have the least prevalence rate of 5.70%. However, neonatal death had the prevalence rate of 8.60% with </w:t>
      </w:r>
      <w:r>
        <w:rPr>
          <w:lang w:eastAsia="en-GB"/>
        </w:rPr>
        <w:t>dec</w:t>
      </w:r>
      <w:r w:rsidRPr="00BB1B43">
        <w:rPr>
          <w:lang w:eastAsia="en-GB"/>
        </w:rPr>
        <w:t xml:space="preserve">line frequency towards the ages of 35 – 49 years (P = 0.02). </w:t>
      </w:r>
    </w:p>
    <w:p w:rsidR="009421F1" w:rsidRPr="00BB1B43" w:rsidRDefault="009421F1" w:rsidP="009421F1">
      <w:pPr>
        <w:spacing w:before="100" w:beforeAutospacing="1"/>
        <w:jc w:val="both"/>
        <w:rPr>
          <w:b/>
          <w:lang w:eastAsia="en-GB"/>
        </w:rPr>
      </w:pPr>
    </w:p>
    <w:p w:rsidR="009421F1" w:rsidRPr="00BB1B43" w:rsidRDefault="009421F1" w:rsidP="009421F1">
      <w:pPr>
        <w:jc w:val="both"/>
        <w:rPr>
          <w:i/>
        </w:rPr>
      </w:pPr>
      <w:r w:rsidRPr="00BB1B43">
        <w:rPr>
          <w:i/>
        </w:rPr>
        <w:t>T</w:t>
      </w:r>
      <w:r w:rsidRPr="00BB1B43">
        <w:rPr>
          <w:b/>
          <w:i/>
        </w:rPr>
        <w:t>able 3.3: Sero-prevalence of Rubella IgM Antibodies among Chronic HVB carriers in relation to            Obstetric Losses with ages</w:t>
      </w:r>
      <w:r w:rsidRPr="00BB1B43">
        <w:rPr>
          <w:i/>
        </w:rPr>
        <w:t xml:space="preserve"> </w:t>
      </w:r>
    </w:p>
    <w:tbl>
      <w:tblPr>
        <w:tblW w:w="10440" w:type="dxa"/>
        <w:tblCellSpacing w:w="7" w:type="dxa"/>
        <w:tblInd w:w="-771" w:type="dxa"/>
        <w:tblBorders>
          <w:top w:val="single" w:sz="4" w:space="0" w:color="auto"/>
          <w:bottom w:val="single" w:sz="4" w:space="0" w:color="auto"/>
        </w:tblBorders>
        <w:tblLayout w:type="fixed"/>
        <w:tblCellMar>
          <w:left w:w="115" w:type="dxa"/>
          <w:right w:w="115" w:type="dxa"/>
        </w:tblCellMar>
        <w:tblLook w:val="01E0"/>
      </w:tblPr>
      <w:tblGrid>
        <w:gridCol w:w="1488"/>
        <w:gridCol w:w="1080"/>
        <w:gridCol w:w="1080"/>
        <w:gridCol w:w="1170"/>
        <w:gridCol w:w="1170"/>
        <w:gridCol w:w="1170"/>
        <w:gridCol w:w="1080"/>
        <w:gridCol w:w="1080"/>
        <w:gridCol w:w="1122"/>
      </w:tblGrid>
      <w:tr w:rsidR="009421F1" w:rsidRPr="00BB1B43" w:rsidTr="001945C5">
        <w:trPr>
          <w:trHeight w:val="624"/>
          <w:tblCellSpacing w:w="7" w:type="dxa"/>
        </w:trPr>
        <w:tc>
          <w:tcPr>
            <w:tcW w:w="10412" w:type="dxa"/>
            <w:gridSpan w:val="9"/>
            <w:tcBorders>
              <w:top w:val="nil"/>
              <w:bottom w:val="nil"/>
            </w:tcBorders>
          </w:tcPr>
          <w:p w:rsidR="009421F1" w:rsidRPr="00BB1B43" w:rsidRDefault="009421F1" w:rsidP="001945C5">
            <w:pPr>
              <w:spacing w:line="360" w:lineRule="auto"/>
              <w:jc w:val="both"/>
            </w:pPr>
            <w:r w:rsidRPr="00BB1B43">
              <w:rPr>
                <w:b/>
              </w:rPr>
              <w:t xml:space="preserve">                                                          No. of IgM Seropositivity of Rubella Among Various Age Group (Years)</w:t>
            </w:r>
          </w:p>
        </w:tc>
      </w:tr>
      <w:tr w:rsidR="009421F1" w:rsidRPr="00BB1B43" w:rsidTr="001945C5">
        <w:trPr>
          <w:tblCellSpacing w:w="7" w:type="dxa"/>
        </w:trPr>
        <w:tc>
          <w:tcPr>
            <w:tcW w:w="1467" w:type="dxa"/>
            <w:tcBorders>
              <w:top w:val="nil"/>
              <w:bottom w:val="nil"/>
            </w:tcBorders>
          </w:tcPr>
          <w:p w:rsidR="009421F1" w:rsidRPr="00BB1B43" w:rsidRDefault="009421F1" w:rsidP="001945C5">
            <w:pPr>
              <w:spacing w:line="360" w:lineRule="auto"/>
              <w:jc w:val="both"/>
              <w:rPr>
                <w:b/>
              </w:rPr>
            </w:pPr>
            <w:r w:rsidRPr="00BB1B43">
              <w:rPr>
                <w:b/>
              </w:rPr>
              <w:t>Obstetric history</w:t>
            </w:r>
          </w:p>
        </w:tc>
        <w:tc>
          <w:tcPr>
            <w:tcW w:w="1066" w:type="dxa"/>
            <w:tcBorders>
              <w:top w:val="single" w:sz="4" w:space="0" w:color="auto"/>
              <w:bottom w:val="nil"/>
            </w:tcBorders>
          </w:tcPr>
          <w:p w:rsidR="009421F1" w:rsidRPr="00BB1B43" w:rsidRDefault="009421F1" w:rsidP="001945C5">
            <w:pPr>
              <w:spacing w:line="360" w:lineRule="auto"/>
              <w:jc w:val="both"/>
            </w:pPr>
            <w:r w:rsidRPr="00BB1B43">
              <w:t>15 – 19</w:t>
            </w:r>
          </w:p>
        </w:tc>
        <w:tc>
          <w:tcPr>
            <w:tcW w:w="1066" w:type="dxa"/>
            <w:tcBorders>
              <w:top w:val="single" w:sz="4" w:space="0" w:color="auto"/>
              <w:bottom w:val="nil"/>
            </w:tcBorders>
          </w:tcPr>
          <w:p w:rsidR="009421F1" w:rsidRPr="00BB1B43" w:rsidRDefault="009421F1" w:rsidP="001945C5">
            <w:pPr>
              <w:spacing w:line="360" w:lineRule="auto"/>
              <w:jc w:val="both"/>
            </w:pPr>
            <w:r w:rsidRPr="00BB1B43">
              <w:t>20 – 24</w:t>
            </w:r>
          </w:p>
        </w:tc>
        <w:tc>
          <w:tcPr>
            <w:tcW w:w="1156" w:type="dxa"/>
            <w:tcBorders>
              <w:top w:val="single" w:sz="4" w:space="0" w:color="auto"/>
              <w:bottom w:val="nil"/>
            </w:tcBorders>
          </w:tcPr>
          <w:p w:rsidR="009421F1" w:rsidRPr="00BB1B43" w:rsidRDefault="009421F1" w:rsidP="001945C5">
            <w:pPr>
              <w:spacing w:line="360" w:lineRule="auto"/>
              <w:jc w:val="both"/>
            </w:pPr>
            <w:r w:rsidRPr="00BB1B43">
              <w:t>25 – 29</w:t>
            </w:r>
          </w:p>
        </w:tc>
        <w:tc>
          <w:tcPr>
            <w:tcW w:w="1156" w:type="dxa"/>
            <w:tcBorders>
              <w:top w:val="single" w:sz="4" w:space="0" w:color="auto"/>
              <w:bottom w:val="nil"/>
            </w:tcBorders>
          </w:tcPr>
          <w:p w:rsidR="009421F1" w:rsidRPr="00BB1B43" w:rsidRDefault="009421F1" w:rsidP="001945C5">
            <w:pPr>
              <w:spacing w:line="360" w:lineRule="auto"/>
              <w:jc w:val="both"/>
            </w:pPr>
            <w:r w:rsidRPr="00BB1B43">
              <w:t>30 – 34</w:t>
            </w:r>
          </w:p>
        </w:tc>
        <w:tc>
          <w:tcPr>
            <w:tcW w:w="1156" w:type="dxa"/>
            <w:tcBorders>
              <w:top w:val="single" w:sz="4" w:space="0" w:color="auto"/>
              <w:bottom w:val="nil"/>
            </w:tcBorders>
          </w:tcPr>
          <w:p w:rsidR="009421F1" w:rsidRPr="00BB1B43" w:rsidRDefault="009421F1" w:rsidP="001945C5">
            <w:pPr>
              <w:spacing w:line="360" w:lineRule="auto"/>
              <w:jc w:val="both"/>
            </w:pPr>
            <w:r w:rsidRPr="00BB1B43">
              <w:t>35 – 39</w:t>
            </w:r>
          </w:p>
        </w:tc>
        <w:tc>
          <w:tcPr>
            <w:tcW w:w="1066" w:type="dxa"/>
            <w:tcBorders>
              <w:top w:val="single" w:sz="4" w:space="0" w:color="auto"/>
              <w:bottom w:val="nil"/>
            </w:tcBorders>
          </w:tcPr>
          <w:p w:rsidR="009421F1" w:rsidRPr="00BB1B43" w:rsidRDefault="009421F1" w:rsidP="001945C5">
            <w:pPr>
              <w:spacing w:line="360" w:lineRule="auto"/>
              <w:jc w:val="both"/>
            </w:pPr>
            <w:r w:rsidRPr="00BB1B43">
              <w:t>40 – 44</w:t>
            </w:r>
          </w:p>
        </w:tc>
        <w:tc>
          <w:tcPr>
            <w:tcW w:w="1066" w:type="dxa"/>
            <w:tcBorders>
              <w:top w:val="single" w:sz="4" w:space="0" w:color="auto"/>
              <w:bottom w:val="nil"/>
            </w:tcBorders>
          </w:tcPr>
          <w:p w:rsidR="009421F1" w:rsidRPr="00BB1B43" w:rsidRDefault="009421F1" w:rsidP="001945C5">
            <w:pPr>
              <w:spacing w:line="360" w:lineRule="auto"/>
              <w:jc w:val="both"/>
            </w:pPr>
            <w:r w:rsidRPr="00BB1B43">
              <w:t>45 – 49</w:t>
            </w:r>
          </w:p>
        </w:tc>
        <w:tc>
          <w:tcPr>
            <w:tcW w:w="1101" w:type="dxa"/>
            <w:tcBorders>
              <w:top w:val="nil"/>
              <w:bottom w:val="nil"/>
            </w:tcBorders>
          </w:tcPr>
          <w:p w:rsidR="009421F1" w:rsidRPr="00624987" w:rsidRDefault="009421F1" w:rsidP="001945C5">
            <w:pPr>
              <w:spacing w:line="360" w:lineRule="auto"/>
              <w:jc w:val="both"/>
              <w:rPr>
                <w:b/>
              </w:rPr>
            </w:pPr>
            <w:r w:rsidRPr="00624987">
              <w:rPr>
                <w:b/>
              </w:rPr>
              <w:t>Total (%)</w:t>
            </w:r>
          </w:p>
        </w:tc>
      </w:tr>
      <w:tr w:rsidR="009421F1" w:rsidRPr="00BB1B43" w:rsidTr="001945C5">
        <w:trPr>
          <w:tblCellSpacing w:w="7" w:type="dxa"/>
        </w:trPr>
        <w:tc>
          <w:tcPr>
            <w:tcW w:w="1467" w:type="dxa"/>
            <w:tcBorders>
              <w:top w:val="nil"/>
              <w:bottom w:val="nil"/>
            </w:tcBorders>
          </w:tcPr>
          <w:p w:rsidR="009421F1" w:rsidRPr="00BB1B43" w:rsidRDefault="009421F1" w:rsidP="001945C5">
            <w:pPr>
              <w:spacing w:line="360" w:lineRule="auto"/>
              <w:jc w:val="both"/>
            </w:pPr>
          </w:p>
        </w:tc>
        <w:tc>
          <w:tcPr>
            <w:tcW w:w="1066" w:type="dxa"/>
            <w:tcBorders>
              <w:top w:val="nil"/>
              <w:bottom w:val="nil"/>
            </w:tcBorders>
          </w:tcPr>
          <w:p w:rsidR="009421F1" w:rsidRPr="00BB1B43" w:rsidRDefault="009421F1" w:rsidP="001945C5">
            <w:pPr>
              <w:spacing w:line="360" w:lineRule="auto"/>
              <w:jc w:val="both"/>
            </w:pPr>
          </w:p>
        </w:tc>
        <w:tc>
          <w:tcPr>
            <w:tcW w:w="1066" w:type="dxa"/>
            <w:tcBorders>
              <w:top w:val="nil"/>
              <w:bottom w:val="nil"/>
            </w:tcBorders>
          </w:tcPr>
          <w:p w:rsidR="009421F1" w:rsidRPr="00BB1B43" w:rsidRDefault="009421F1" w:rsidP="001945C5">
            <w:pPr>
              <w:spacing w:line="360" w:lineRule="auto"/>
              <w:jc w:val="both"/>
            </w:pPr>
          </w:p>
        </w:tc>
        <w:tc>
          <w:tcPr>
            <w:tcW w:w="1156" w:type="dxa"/>
            <w:tcBorders>
              <w:top w:val="nil"/>
              <w:bottom w:val="nil"/>
            </w:tcBorders>
          </w:tcPr>
          <w:p w:rsidR="009421F1" w:rsidRPr="00BB1B43" w:rsidRDefault="009421F1" w:rsidP="001945C5">
            <w:pPr>
              <w:spacing w:line="360" w:lineRule="auto"/>
              <w:jc w:val="both"/>
            </w:pPr>
          </w:p>
        </w:tc>
        <w:tc>
          <w:tcPr>
            <w:tcW w:w="1156" w:type="dxa"/>
            <w:tcBorders>
              <w:top w:val="nil"/>
              <w:bottom w:val="nil"/>
            </w:tcBorders>
          </w:tcPr>
          <w:p w:rsidR="009421F1" w:rsidRPr="00BB1B43" w:rsidRDefault="009421F1" w:rsidP="001945C5">
            <w:pPr>
              <w:spacing w:line="360" w:lineRule="auto"/>
              <w:jc w:val="both"/>
            </w:pPr>
          </w:p>
        </w:tc>
        <w:tc>
          <w:tcPr>
            <w:tcW w:w="1156" w:type="dxa"/>
            <w:tcBorders>
              <w:top w:val="nil"/>
              <w:bottom w:val="nil"/>
            </w:tcBorders>
          </w:tcPr>
          <w:p w:rsidR="009421F1" w:rsidRPr="00BB1B43" w:rsidRDefault="009421F1" w:rsidP="001945C5">
            <w:pPr>
              <w:spacing w:line="360" w:lineRule="auto"/>
              <w:jc w:val="both"/>
            </w:pPr>
          </w:p>
        </w:tc>
        <w:tc>
          <w:tcPr>
            <w:tcW w:w="1066" w:type="dxa"/>
            <w:tcBorders>
              <w:top w:val="nil"/>
              <w:bottom w:val="nil"/>
            </w:tcBorders>
          </w:tcPr>
          <w:p w:rsidR="009421F1" w:rsidRPr="00BB1B43" w:rsidRDefault="009421F1" w:rsidP="001945C5">
            <w:pPr>
              <w:spacing w:line="360" w:lineRule="auto"/>
              <w:jc w:val="both"/>
            </w:pPr>
          </w:p>
        </w:tc>
        <w:tc>
          <w:tcPr>
            <w:tcW w:w="1066" w:type="dxa"/>
            <w:tcBorders>
              <w:top w:val="nil"/>
              <w:bottom w:val="nil"/>
            </w:tcBorders>
          </w:tcPr>
          <w:p w:rsidR="009421F1" w:rsidRPr="00BB1B43" w:rsidRDefault="009421F1" w:rsidP="001945C5">
            <w:pPr>
              <w:spacing w:line="360" w:lineRule="auto"/>
              <w:jc w:val="both"/>
            </w:pPr>
          </w:p>
        </w:tc>
        <w:tc>
          <w:tcPr>
            <w:tcW w:w="1101" w:type="dxa"/>
            <w:tcBorders>
              <w:top w:val="nil"/>
              <w:bottom w:val="nil"/>
            </w:tcBorders>
          </w:tcPr>
          <w:p w:rsidR="009421F1" w:rsidRPr="00BB1B43" w:rsidRDefault="009421F1" w:rsidP="001945C5">
            <w:pPr>
              <w:spacing w:line="360" w:lineRule="auto"/>
              <w:jc w:val="both"/>
            </w:pPr>
          </w:p>
        </w:tc>
      </w:tr>
      <w:tr w:rsidR="009421F1" w:rsidRPr="00BB1B43" w:rsidTr="001945C5">
        <w:trPr>
          <w:tblCellSpacing w:w="7" w:type="dxa"/>
        </w:trPr>
        <w:tc>
          <w:tcPr>
            <w:tcW w:w="1467" w:type="dxa"/>
            <w:tcBorders>
              <w:top w:val="nil"/>
              <w:bottom w:val="nil"/>
            </w:tcBorders>
          </w:tcPr>
          <w:p w:rsidR="009421F1" w:rsidRPr="00624987" w:rsidRDefault="009421F1" w:rsidP="001945C5">
            <w:pPr>
              <w:spacing w:line="360" w:lineRule="auto"/>
              <w:jc w:val="both"/>
              <w:rPr>
                <w:b/>
              </w:rPr>
            </w:pPr>
            <w:r w:rsidRPr="00624987">
              <w:rPr>
                <w:b/>
              </w:rPr>
              <w:t xml:space="preserve">Abortions </w:t>
            </w:r>
          </w:p>
        </w:tc>
        <w:tc>
          <w:tcPr>
            <w:tcW w:w="1066" w:type="dxa"/>
            <w:tcBorders>
              <w:top w:val="nil"/>
              <w:bottom w:val="nil"/>
            </w:tcBorders>
          </w:tcPr>
          <w:p w:rsidR="009421F1" w:rsidRPr="00BB1B43" w:rsidRDefault="009421F1" w:rsidP="001945C5">
            <w:pPr>
              <w:spacing w:line="360" w:lineRule="auto"/>
              <w:jc w:val="both"/>
            </w:pPr>
            <w:r w:rsidRPr="00BB1B43">
              <w:t>1(2.86%)</w:t>
            </w:r>
          </w:p>
        </w:tc>
        <w:tc>
          <w:tcPr>
            <w:tcW w:w="1066" w:type="dxa"/>
            <w:tcBorders>
              <w:top w:val="nil"/>
              <w:bottom w:val="nil"/>
            </w:tcBorders>
          </w:tcPr>
          <w:p w:rsidR="009421F1" w:rsidRPr="00BB1B43" w:rsidRDefault="009421F1" w:rsidP="001945C5">
            <w:pPr>
              <w:spacing w:line="360" w:lineRule="auto"/>
              <w:jc w:val="both"/>
            </w:pPr>
            <w:r w:rsidRPr="00BB1B43">
              <w:t>3(8.57%)</w:t>
            </w:r>
          </w:p>
        </w:tc>
        <w:tc>
          <w:tcPr>
            <w:tcW w:w="1156" w:type="dxa"/>
            <w:tcBorders>
              <w:top w:val="nil"/>
              <w:bottom w:val="nil"/>
            </w:tcBorders>
          </w:tcPr>
          <w:p w:rsidR="009421F1" w:rsidRPr="00BB1B43" w:rsidRDefault="009421F1" w:rsidP="001945C5">
            <w:pPr>
              <w:spacing w:line="360" w:lineRule="auto"/>
              <w:jc w:val="both"/>
            </w:pPr>
            <w:r w:rsidRPr="00BB1B43">
              <w:t>5(14.29%)</w:t>
            </w:r>
          </w:p>
        </w:tc>
        <w:tc>
          <w:tcPr>
            <w:tcW w:w="1156" w:type="dxa"/>
            <w:tcBorders>
              <w:top w:val="nil"/>
              <w:bottom w:val="nil"/>
            </w:tcBorders>
          </w:tcPr>
          <w:p w:rsidR="009421F1" w:rsidRPr="00BB1B43" w:rsidRDefault="009421F1" w:rsidP="001945C5">
            <w:pPr>
              <w:spacing w:line="360" w:lineRule="auto"/>
              <w:jc w:val="both"/>
            </w:pPr>
            <w:r w:rsidRPr="00BB1B43">
              <w:t>8(22. 84%)</w:t>
            </w:r>
          </w:p>
        </w:tc>
        <w:tc>
          <w:tcPr>
            <w:tcW w:w="1156" w:type="dxa"/>
            <w:tcBorders>
              <w:top w:val="nil"/>
              <w:bottom w:val="nil"/>
            </w:tcBorders>
          </w:tcPr>
          <w:p w:rsidR="009421F1" w:rsidRPr="00BB1B43" w:rsidRDefault="009421F1" w:rsidP="001945C5">
            <w:pPr>
              <w:spacing w:line="360" w:lineRule="auto"/>
              <w:jc w:val="both"/>
            </w:pPr>
            <w:r w:rsidRPr="00BB1B43">
              <w:t>4(11.42%)</w:t>
            </w:r>
          </w:p>
        </w:tc>
        <w:tc>
          <w:tcPr>
            <w:tcW w:w="1066" w:type="dxa"/>
            <w:tcBorders>
              <w:top w:val="nil"/>
              <w:bottom w:val="nil"/>
            </w:tcBorders>
          </w:tcPr>
          <w:p w:rsidR="009421F1" w:rsidRPr="00BB1B43" w:rsidRDefault="009421F1" w:rsidP="001945C5">
            <w:pPr>
              <w:spacing w:line="360" w:lineRule="auto"/>
              <w:jc w:val="both"/>
            </w:pPr>
            <w:r w:rsidRPr="00BB1B43">
              <w:t>1(2.86%)</w:t>
            </w:r>
          </w:p>
        </w:tc>
        <w:tc>
          <w:tcPr>
            <w:tcW w:w="1066" w:type="dxa"/>
            <w:tcBorders>
              <w:top w:val="nil"/>
              <w:bottom w:val="nil"/>
            </w:tcBorders>
          </w:tcPr>
          <w:p w:rsidR="009421F1" w:rsidRPr="00BB1B43" w:rsidRDefault="009421F1" w:rsidP="001945C5">
            <w:pPr>
              <w:spacing w:line="360" w:lineRule="auto"/>
              <w:jc w:val="both"/>
            </w:pPr>
            <w:r w:rsidRPr="00BB1B43">
              <w:t>0(0.00%)</w:t>
            </w:r>
          </w:p>
        </w:tc>
        <w:tc>
          <w:tcPr>
            <w:tcW w:w="1101" w:type="dxa"/>
            <w:tcBorders>
              <w:top w:val="nil"/>
              <w:bottom w:val="nil"/>
            </w:tcBorders>
          </w:tcPr>
          <w:p w:rsidR="009421F1" w:rsidRPr="00BB1B43" w:rsidRDefault="009421F1" w:rsidP="001945C5">
            <w:pPr>
              <w:spacing w:line="360" w:lineRule="auto"/>
              <w:jc w:val="both"/>
            </w:pPr>
            <w:r w:rsidRPr="00BB1B43">
              <w:t>22 (62.90)</w:t>
            </w:r>
          </w:p>
        </w:tc>
      </w:tr>
      <w:tr w:rsidR="009421F1" w:rsidRPr="00BB1B43" w:rsidTr="001945C5">
        <w:trPr>
          <w:tblCellSpacing w:w="7" w:type="dxa"/>
        </w:trPr>
        <w:tc>
          <w:tcPr>
            <w:tcW w:w="1467" w:type="dxa"/>
            <w:tcBorders>
              <w:top w:val="nil"/>
              <w:bottom w:val="nil"/>
            </w:tcBorders>
          </w:tcPr>
          <w:p w:rsidR="009421F1" w:rsidRPr="00624987" w:rsidRDefault="009421F1" w:rsidP="001945C5">
            <w:pPr>
              <w:spacing w:line="360" w:lineRule="auto"/>
              <w:jc w:val="both"/>
              <w:rPr>
                <w:b/>
              </w:rPr>
            </w:pPr>
            <w:r w:rsidRPr="00624987">
              <w:rPr>
                <w:b/>
              </w:rPr>
              <w:t xml:space="preserve">Premature delivery </w:t>
            </w:r>
          </w:p>
        </w:tc>
        <w:tc>
          <w:tcPr>
            <w:tcW w:w="1066" w:type="dxa"/>
            <w:tcBorders>
              <w:top w:val="nil"/>
              <w:bottom w:val="nil"/>
            </w:tcBorders>
          </w:tcPr>
          <w:p w:rsidR="009421F1" w:rsidRPr="00BB1B43" w:rsidRDefault="009421F1" w:rsidP="001945C5">
            <w:pPr>
              <w:spacing w:line="360" w:lineRule="auto"/>
              <w:jc w:val="both"/>
            </w:pPr>
            <w:r w:rsidRPr="00BB1B43">
              <w:t>0(0.00%)</w:t>
            </w:r>
          </w:p>
        </w:tc>
        <w:tc>
          <w:tcPr>
            <w:tcW w:w="1066" w:type="dxa"/>
            <w:tcBorders>
              <w:top w:val="nil"/>
              <w:bottom w:val="nil"/>
            </w:tcBorders>
          </w:tcPr>
          <w:p w:rsidR="009421F1" w:rsidRPr="00BB1B43" w:rsidRDefault="009421F1" w:rsidP="001945C5">
            <w:pPr>
              <w:spacing w:line="360" w:lineRule="auto"/>
              <w:jc w:val="both"/>
            </w:pPr>
            <w:r w:rsidRPr="00BB1B43">
              <w:t>1(2.86%)</w:t>
            </w:r>
          </w:p>
        </w:tc>
        <w:tc>
          <w:tcPr>
            <w:tcW w:w="1156" w:type="dxa"/>
            <w:tcBorders>
              <w:top w:val="nil"/>
              <w:bottom w:val="nil"/>
            </w:tcBorders>
          </w:tcPr>
          <w:p w:rsidR="009421F1" w:rsidRPr="00BB1B43" w:rsidRDefault="009421F1" w:rsidP="001945C5">
            <w:pPr>
              <w:spacing w:line="360" w:lineRule="auto"/>
              <w:jc w:val="both"/>
            </w:pPr>
            <w:r w:rsidRPr="00BB1B43">
              <w:t>0(0.00%)</w:t>
            </w:r>
          </w:p>
        </w:tc>
        <w:tc>
          <w:tcPr>
            <w:tcW w:w="1156" w:type="dxa"/>
            <w:tcBorders>
              <w:top w:val="nil"/>
              <w:bottom w:val="nil"/>
            </w:tcBorders>
          </w:tcPr>
          <w:p w:rsidR="009421F1" w:rsidRPr="00BB1B43" w:rsidRDefault="009421F1" w:rsidP="001945C5">
            <w:pPr>
              <w:spacing w:line="360" w:lineRule="auto"/>
              <w:jc w:val="both"/>
            </w:pPr>
            <w:r w:rsidRPr="00BB1B43">
              <w:t>1(2.86%)</w:t>
            </w:r>
          </w:p>
        </w:tc>
        <w:tc>
          <w:tcPr>
            <w:tcW w:w="1156" w:type="dxa"/>
            <w:tcBorders>
              <w:top w:val="nil"/>
              <w:bottom w:val="nil"/>
            </w:tcBorders>
          </w:tcPr>
          <w:p w:rsidR="009421F1" w:rsidRPr="00BB1B43" w:rsidRDefault="009421F1" w:rsidP="001945C5">
            <w:pPr>
              <w:spacing w:line="360" w:lineRule="auto"/>
              <w:jc w:val="both"/>
            </w:pPr>
            <w:r w:rsidRPr="00BB1B43">
              <w:t>1(2.86%)</w:t>
            </w:r>
          </w:p>
        </w:tc>
        <w:tc>
          <w:tcPr>
            <w:tcW w:w="1066" w:type="dxa"/>
            <w:tcBorders>
              <w:top w:val="nil"/>
              <w:bottom w:val="nil"/>
            </w:tcBorders>
          </w:tcPr>
          <w:p w:rsidR="009421F1" w:rsidRPr="00BB1B43" w:rsidRDefault="009421F1" w:rsidP="001945C5">
            <w:pPr>
              <w:spacing w:line="360" w:lineRule="auto"/>
              <w:jc w:val="both"/>
            </w:pPr>
            <w:r w:rsidRPr="00BB1B43">
              <w:t>0(0.00%)</w:t>
            </w:r>
          </w:p>
        </w:tc>
        <w:tc>
          <w:tcPr>
            <w:tcW w:w="1066" w:type="dxa"/>
            <w:tcBorders>
              <w:top w:val="nil"/>
              <w:bottom w:val="nil"/>
            </w:tcBorders>
          </w:tcPr>
          <w:p w:rsidR="009421F1" w:rsidRPr="00BB1B43" w:rsidRDefault="009421F1" w:rsidP="001945C5">
            <w:pPr>
              <w:spacing w:line="360" w:lineRule="auto"/>
              <w:jc w:val="both"/>
            </w:pPr>
            <w:r w:rsidRPr="00BB1B43">
              <w:t>0(0.00%)</w:t>
            </w:r>
          </w:p>
        </w:tc>
        <w:tc>
          <w:tcPr>
            <w:tcW w:w="1101" w:type="dxa"/>
            <w:tcBorders>
              <w:top w:val="nil"/>
              <w:bottom w:val="nil"/>
            </w:tcBorders>
          </w:tcPr>
          <w:p w:rsidR="009421F1" w:rsidRPr="00BB1B43" w:rsidRDefault="009421F1" w:rsidP="001945C5">
            <w:pPr>
              <w:spacing w:line="360" w:lineRule="auto"/>
              <w:jc w:val="both"/>
            </w:pPr>
            <w:r w:rsidRPr="00BB1B43">
              <w:t>4 (11.40)</w:t>
            </w:r>
          </w:p>
        </w:tc>
      </w:tr>
      <w:tr w:rsidR="009421F1" w:rsidRPr="00BB1B43" w:rsidTr="001945C5">
        <w:trPr>
          <w:tblCellSpacing w:w="7" w:type="dxa"/>
        </w:trPr>
        <w:tc>
          <w:tcPr>
            <w:tcW w:w="1467" w:type="dxa"/>
            <w:tcBorders>
              <w:top w:val="nil"/>
              <w:bottom w:val="nil"/>
            </w:tcBorders>
          </w:tcPr>
          <w:p w:rsidR="009421F1" w:rsidRPr="00624987" w:rsidRDefault="009421F1" w:rsidP="001945C5">
            <w:pPr>
              <w:spacing w:line="360" w:lineRule="auto"/>
              <w:jc w:val="both"/>
              <w:rPr>
                <w:b/>
              </w:rPr>
            </w:pPr>
            <w:r w:rsidRPr="00624987">
              <w:rPr>
                <w:b/>
              </w:rPr>
              <w:t>Still birth</w:t>
            </w:r>
          </w:p>
        </w:tc>
        <w:tc>
          <w:tcPr>
            <w:tcW w:w="1066" w:type="dxa"/>
            <w:tcBorders>
              <w:top w:val="nil"/>
              <w:bottom w:val="nil"/>
            </w:tcBorders>
          </w:tcPr>
          <w:p w:rsidR="009421F1" w:rsidRPr="00BB1B43" w:rsidRDefault="009421F1" w:rsidP="001945C5">
            <w:pPr>
              <w:spacing w:line="360" w:lineRule="auto"/>
              <w:jc w:val="both"/>
            </w:pPr>
            <w:r w:rsidRPr="00BB1B43">
              <w:t>0(0.00%)</w:t>
            </w:r>
          </w:p>
        </w:tc>
        <w:tc>
          <w:tcPr>
            <w:tcW w:w="1066" w:type="dxa"/>
            <w:tcBorders>
              <w:top w:val="nil"/>
              <w:bottom w:val="nil"/>
            </w:tcBorders>
          </w:tcPr>
          <w:p w:rsidR="009421F1" w:rsidRPr="00BB1B43" w:rsidRDefault="009421F1" w:rsidP="001945C5">
            <w:pPr>
              <w:spacing w:line="360" w:lineRule="auto"/>
              <w:jc w:val="both"/>
            </w:pPr>
            <w:r w:rsidRPr="00BB1B43">
              <w:t>2(5.71%)</w:t>
            </w:r>
          </w:p>
        </w:tc>
        <w:tc>
          <w:tcPr>
            <w:tcW w:w="1156" w:type="dxa"/>
            <w:tcBorders>
              <w:top w:val="nil"/>
              <w:bottom w:val="nil"/>
            </w:tcBorders>
          </w:tcPr>
          <w:p w:rsidR="009421F1" w:rsidRPr="00BB1B43" w:rsidRDefault="009421F1" w:rsidP="001945C5">
            <w:pPr>
              <w:spacing w:line="360" w:lineRule="auto"/>
              <w:jc w:val="both"/>
            </w:pPr>
            <w:r w:rsidRPr="00BB1B43">
              <w:t>1(2.86%)</w:t>
            </w:r>
          </w:p>
        </w:tc>
        <w:tc>
          <w:tcPr>
            <w:tcW w:w="1156" w:type="dxa"/>
            <w:tcBorders>
              <w:top w:val="nil"/>
              <w:bottom w:val="nil"/>
            </w:tcBorders>
          </w:tcPr>
          <w:p w:rsidR="009421F1" w:rsidRPr="00BB1B43" w:rsidRDefault="009421F1" w:rsidP="001945C5">
            <w:pPr>
              <w:spacing w:line="360" w:lineRule="auto"/>
              <w:jc w:val="both"/>
            </w:pPr>
            <w:r w:rsidRPr="00BB1B43">
              <w:t>0(0.00%)</w:t>
            </w:r>
          </w:p>
        </w:tc>
        <w:tc>
          <w:tcPr>
            <w:tcW w:w="1156" w:type="dxa"/>
            <w:tcBorders>
              <w:top w:val="nil"/>
              <w:bottom w:val="nil"/>
            </w:tcBorders>
          </w:tcPr>
          <w:p w:rsidR="009421F1" w:rsidRPr="00BB1B43" w:rsidRDefault="009421F1" w:rsidP="001945C5">
            <w:pPr>
              <w:spacing w:line="360" w:lineRule="auto"/>
              <w:jc w:val="both"/>
            </w:pPr>
            <w:r w:rsidRPr="00BB1B43">
              <w:t>1(2.86%)</w:t>
            </w:r>
          </w:p>
        </w:tc>
        <w:tc>
          <w:tcPr>
            <w:tcW w:w="1066" w:type="dxa"/>
            <w:tcBorders>
              <w:top w:val="nil"/>
              <w:bottom w:val="nil"/>
            </w:tcBorders>
          </w:tcPr>
          <w:p w:rsidR="009421F1" w:rsidRPr="00BB1B43" w:rsidRDefault="009421F1" w:rsidP="001945C5">
            <w:pPr>
              <w:spacing w:line="360" w:lineRule="auto"/>
              <w:jc w:val="both"/>
            </w:pPr>
            <w:r w:rsidRPr="00BB1B43">
              <w:t>0(0.00%)</w:t>
            </w:r>
          </w:p>
        </w:tc>
        <w:tc>
          <w:tcPr>
            <w:tcW w:w="1066" w:type="dxa"/>
            <w:tcBorders>
              <w:top w:val="nil"/>
              <w:bottom w:val="nil"/>
            </w:tcBorders>
          </w:tcPr>
          <w:p w:rsidR="009421F1" w:rsidRPr="00BB1B43" w:rsidRDefault="009421F1" w:rsidP="001945C5">
            <w:pPr>
              <w:spacing w:line="360" w:lineRule="auto"/>
              <w:jc w:val="both"/>
            </w:pPr>
            <w:r w:rsidRPr="00BB1B43">
              <w:t>0(0.00%)</w:t>
            </w:r>
          </w:p>
        </w:tc>
        <w:tc>
          <w:tcPr>
            <w:tcW w:w="1101" w:type="dxa"/>
            <w:tcBorders>
              <w:top w:val="nil"/>
              <w:bottom w:val="nil"/>
            </w:tcBorders>
          </w:tcPr>
          <w:p w:rsidR="009421F1" w:rsidRPr="00BB1B43" w:rsidRDefault="009421F1" w:rsidP="001945C5">
            <w:pPr>
              <w:spacing w:line="360" w:lineRule="auto"/>
              <w:jc w:val="both"/>
            </w:pPr>
            <w:r w:rsidRPr="00BB1B43">
              <w:t>4 (11.40)</w:t>
            </w:r>
          </w:p>
        </w:tc>
      </w:tr>
      <w:tr w:rsidR="009421F1" w:rsidRPr="00BB1B43" w:rsidTr="001945C5">
        <w:trPr>
          <w:tblCellSpacing w:w="7" w:type="dxa"/>
        </w:trPr>
        <w:tc>
          <w:tcPr>
            <w:tcW w:w="1467" w:type="dxa"/>
            <w:tcBorders>
              <w:top w:val="nil"/>
              <w:bottom w:val="nil"/>
            </w:tcBorders>
          </w:tcPr>
          <w:p w:rsidR="009421F1" w:rsidRPr="00624987" w:rsidRDefault="009421F1" w:rsidP="001945C5">
            <w:pPr>
              <w:spacing w:line="360" w:lineRule="auto"/>
              <w:jc w:val="both"/>
              <w:rPr>
                <w:b/>
              </w:rPr>
            </w:pPr>
            <w:r w:rsidRPr="00624987">
              <w:rPr>
                <w:b/>
              </w:rPr>
              <w:t xml:space="preserve">Congenital anomalies </w:t>
            </w:r>
          </w:p>
        </w:tc>
        <w:tc>
          <w:tcPr>
            <w:tcW w:w="1066" w:type="dxa"/>
            <w:tcBorders>
              <w:top w:val="nil"/>
              <w:bottom w:val="nil"/>
            </w:tcBorders>
          </w:tcPr>
          <w:p w:rsidR="009421F1" w:rsidRPr="00BB1B43" w:rsidRDefault="009421F1" w:rsidP="001945C5">
            <w:pPr>
              <w:spacing w:line="360" w:lineRule="auto"/>
              <w:jc w:val="both"/>
            </w:pPr>
            <w:r w:rsidRPr="00BB1B43">
              <w:t>0(0.00%)</w:t>
            </w:r>
          </w:p>
        </w:tc>
        <w:tc>
          <w:tcPr>
            <w:tcW w:w="1066" w:type="dxa"/>
            <w:tcBorders>
              <w:top w:val="nil"/>
              <w:bottom w:val="nil"/>
            </w:tcBorders>
          </w:tcPr>
          <w:p w:rsidR="009421F1" w:rsidRPr="00BB1B43" w:rsidRDefault="009421F1" w:rsidP="001945C5">
            <w:pPr>
              <w:spacing w:line="360" w:lineRule="auto"/>
              <w:jc w:val="both"/>
            </w:pPr>
            <w:r w:rsidRPr="00BB1B43">
              <w:t>1(2.86%)</w:t>
            </w:r>
          </w:p>
        </w:tc>
        <w:tc>
          <w:tcPr>
            <w:tcW w:w="1156" w:type="dxa"/>
            <w:tcBorders>
              <w:top w:val="nil"/>
              <w:bottom w:val="nil"/>
            </w:tcBorders>
          </w:tcPr>
          <w:p w:rsidR="009421F1" w:rsidRPr="00BB1B43" w:rsidRDefault="009421F1" w:rsidP="001945C5">
            <w:pPr>
              <w:spacing w:line="360" w:lineRule="auto"/>
              <w:jc w:val="both"/>
            </w:pPr>
            <w:r w:rsidRPr="00BB1B43">
              <w:t>0(0.00%)</w:t>
            </w:r>
          </w:p>
        </w:tc>
        <w:tc>
          <w:tcPr>
            <w:tcW w:w="1156" w:type="dxa"/>
            <w:tcBorders>
              <w:top w:val="nil"/>
              <w:bottom w:val="nil"/>
            </w:tcBorders>
          </w:tcPr>
          <w:p w:rsidR="009421F1" w:rsidRPr="00BB1B43" w:rsidRDefault="009421F1" w:rsidP="001945C5">
            <w:pPr>
              <w:spacing w:line="360" w:lineRule="auto"/>
              <w:jc w:val="both"/>
            </w:pPr>
            <w:r w:rsidRPr="00BB1B43">
              <w:t>1(2.86%)</w:t>
            </w:r>
          </w:p>
        </w:tc>
        <w:tc>
          <w:tcPr>
            <w:tcW w:w="1156" w:type="dxa"/>
            <w:tcBorders>
              <w:top w:val="nil"/>
              <w:bottom w:val="nil"/>
            </w:tcBorders>
          </w:tcPr>
          <w:p w:rsidR="009421F1" w:rsidRPr="00BB1B43" w:rsidRDefault="009421F1" w:rsidP="001945C5">
            <w:pPr>
              <w:spacing w:line="360" w:lineRule="auto"/>
              <w:jc w:val="both"/>
            </w:pPr>
            <w:r w:rsidRPr="00BB1B43">
              <w:t>0(0.00%)</w:t>
            </w:r>
          </w:p>
        </w:tc>
        <w:tc>
          <w:tcPr>
            <w:tcW w:w="1066" w:type="dxa"/>
            <w:tcBorders>
              <w:top w:val="nil"/>
              <w:bottom w:val="nil"/>
            </w:tcBorders>
          </w:tcPr>
          <w:p w:rsidR="009421F1" w:rsidRPr="00BB1B43" w:rsidRDefault="009421F1" w:rsidP="001945C5">
            <w:pPr>
              <w:spacing w:line="360" w:lineRule="auto"/>
              <w:jc w:val="both"/>
            </w:pPr>
            <w:r w:rsidRPr="00BB1B43">
              <w:t>1(2.86%)</w:t>
            </w:r>
          </w:p>
        </w:tc>
        <w:tc>
          <w:tcPr>
            <w:tcW w:w="1066" w:type="dxa"/>
            <w:tcBorders>
              <w:top w:val="nil"/>
              <w:bottom w:val="nil"/>
            </w:tcBorders>
          </w:tcPr>
          <w:p w:rsidR="009421F1" w:rsidRPr="00BB1B43" w:rsidRDefault="009421F1" w:rsidP="001945C5">
            <w:pPr>
              <w:spacing w:line="360" w:lineRule="auto"/>
              <w:jc w:val="both"/>
            </w:pPr>
            <w:r w:rsidRPr="00BB1B43">
              <w:t>0(0.00%)</w:t>
            </w:r>
          </w:p>
        </w:tc>
        <w:tc>
          <w:tcPr>
            <w:tcW w:w="1101" w:type="dxa"/>
            <w:tcBorders>
              <w:top w:val="nil"/>
              <w:bottom w:val="nil"/>
            </w:tcBorders>
          </w:tcPr>
          <w:p w:rsidR="009421F1" w:rsidRPr="00BB1B43" w:rsidRDefault="009421F1" w:rsidP="001945C5">
            <w:pPr>
              <w:spacing w:line="360" w:lineRule="auto"/>
              <w:jc w:val="both"/>
            </w:pPr>
            <w:r w:rsidRPr="00BB1B43">
              <w:t>2 (5.70)</w:t>
            </w:r>
          </w:p>
        </w:tc>
      </w:tr>
      <w:tr w:rsidR="009421F1" w:rsidRPr="00BB1B43" w:rsidTr="001945C5">
        <w:trPr>
          <w:tblCellSpacing w:w="7" w:type="dxa"/>
        </w:trPr>
        <w:tc>
          <w:tcPr>
            <w:tcW w:w="1467" w:type="dxa"/>
            <w:tcBorders>
              <w:top w:val="nil"/>
              <w:bottom w:val="nil"/>
            </w:tcBorders>
          </w:tcPr>
          <w:p w:rsidR="009421F1" w:rsidRPr="00624987" w:rsidRDefault="009421F1" w:rsidP="001945C5">
            <w:pPr>
              <w:spacing w:line="360" w:lineRule="auto"/>
              <w:jc w:val="both"/>
              <w:rPr>
                <w:b/>
              </w:rPr>
            </w:pPr>
            <w:r w:rsidRPr="00624987">
              <w:rPr>
                <w:b/>
              </w:rPr>
              <w:t xml:space="preserve">Neonatal death </w:t>
            </w:r>
          </w:p>
        </w:tc>
        <w:tc>
          <w:tcPr>
            <w:tcW w:w="1066" w:type="dxa"/>
            <w:tcBorders>
              <w:top w:val="nil"/>
              <w:bottom w:val="nil"/>
            </w:tcBorders>
          </w:tcPr>
          <w:p w:rsidR="009421F1" w:rsidRPr="00BB1B43" w:rsidRDefault="009421F1" w:rsidP="001945C5">
            <w:pPr>
              <w:spacing w:line="360" w:lineRule="auto"/>
              <w:jc w:val="both"/>
            </w:pPr>
            <w:r w:rsidRPr="00BB1B43">
              <w:t>0(0.00%)</w:t>
            </w:r>
          </w:p>
        </w:tc>
        <w:tc>
          <w:tcPr>
            <w:tcW w:w="1066" w:type="dxa"/>
            <w:tcBorders>
              <w:top w:val="nil"/>
              <w:bottom w:val="nil"/>
            </w:tcBorders>
          </w:tcPr>
          <w:p w:rsidR="009421F1" w:rsidRPr="00BB1B43" w:rsidRDefault="009421F1" w:rsidP="001945C5">
            <w:pPr>
              <w:spacing w:line="360" w:lineRule="auto"/>
              <w:jc w:val="both"/>
            </w:pPr>
            <w:r w:rsidRPr="00BB1B43">
              <w:t>0(0.00%)</w:t>
            </w:r>
          </w:p>
        </w:tc>
        <w:tc>
          <w:tcPr>
            <w:tcW w:w="1156" w:type="dxa"/>
            <w:tcBorders>
              <w:top w:val="nil"/>
              <w:bottom w:val="nil"/>
            </w:tcBorders>
          </w:tcPr>
          <w:p w:rsidR="009421F1" w:rsidRPr="00BB1B43" w:rsidRDefault="009421F1" w:rsidP="001945C5">
            <w:pPr>
              <w:spacing w:line="360" w:lineRule="auto"/>
              <w:jc w:val="both"/>
            </w:pPr>
            <w:r w:rsidRPr="00BB1B43">
              <w:t>0(0.00%)</w:t>
            </w:r>
          </w:p>
        </w:tc>
        <w:tc>
          <w:tcPr>
            <w:tcW w:w="1156" w:type="dxa"/>
            <w:tcBorders>
              <w:top w:val="nil"/>
              <w:bottom w:val="nil"/>
            </w:tcBorders>
          </w:tcPr>
          <w:p w:rsidR="009421F1" w:rsidRPr="00BB1B43" w:rsidRDefault="009421F1" w:rsidP="001945C5">
            <w:pPr>
              <w:spacing w:line="360" w:lineRule="auto"/>
              <w:jc w:val="both"/>
            </w:pPr>
            <w:r w:rsidRPr="00BB1B43">
              <w:t>0(0.00%)</w:t>
            </w:r>
          </w:p>
        </w:tc>
        <w:tc>
          <w:tcPr>
            <w:tcW w:w="1156" w:type="dxa"/>
            <w:tcBorders>
              <w:top w:val="nil"/>
              <w:bottom w:val="nil"/>
            </w:tcBorders>
          </w:tcPr>
          <w:p w:rsidR="009421F1" w:rsidRPr="00BB1B43" w:rsidRDefault="009421F1" w:rsidP="001945C5">
            <w:pPr>
              <w:spacing w:line="360" w:lineRule="auto"/>
              <w:jc w:val="both"/>
            </w:pPr>
            <w:r w:rsidRPr="00BB1B43">
              <w:t>0(0.00%)</w:t>
            </w:r>
          </w:p>
        </w:tc>
        <w:tc>
          <w:tcPr>
            <w:tcW w:w="1066" w:type="dxa"/>
            <w:tcBorders>
              <w:top w:val="nil"/>
              <w:bottom w:val="nil"/>
            </w:tcBorders>
          </w:tcPr>
          <w:p w:rsidR="009421F1" w:rsidRPr="00BB1B43" w:rsidRDefault="009421F1" w:rsidP="001945C5">
            <w:pPr>
              <w:spacing w:line="360" w:lineRule="auto"/>
              <w:jc w:val="both"/>
            </w:pPr>
            <w:r w:rsidRPr="00BB1B43">
              <w:t>1(2.86%)</w:t>
            </w:r>
          </w:p>
        </w:tc>
        <w:tc>
          <w:tcPr>
            <w:tcW w:w="1066" w:type="dxa"/>
            <w:tcBorders>
              <w:top w:val="nil"/>
              <w:bottom w:val="nil"/>
            </w:tcBorders>
          </w:tcPr>
          <w:p w:rsidR="009421F1" w:rsidRPr="00BB1B43" w:rsidRDefault="009421F1" w:rsidP="001945C5">
            <w:pPr>
              <w:spacing w:line="360" w:lineRule="auto"/>
              <w:jc w:val="both"/>
            </w:pPr>
            <w:r w:rsidRPr="00BB1B43">
              <w:t>1(2.86%)</w:t>
            </w:r>
          </w:p>
        </w:tc>
        <w:tc>
          <w:tcPr>
            <w:tcW w:w="1101" w:type="dxa"/>
            <w:tcBorders>
              <w:top w:val="nil"/>
              <w:bottom w:val="nil"/>
            </w:tcBorders>
          </w:tcPr>
          <w:p w:rsidR="009421F1" w:rsidRPr="00BB1B43" w:rsidRDefault="009421F1" w:rsidP="001945C5">
            <w:pPr>
              <w:spacing w:line="360" w:lineRule="auto"/>
              <w:jc w:val="both"/>
            </w:pPr>
            <w:r w:rsidRPr="00BB1B43">
              <w:t>3 (8.60)</w:t>
            </w:r>
          </w:p>
        </w:tc>
      </w:tr>
      <w:tr w:rsidR="009421F1" w:rsidRPr="00BB1B43" w:rsidTr="001945C5">
        <w:trPr>
          <w:tblCellSpacing w:w="7" w:type="dxa"/>
        </w:trPr>
        <w:tc>
          <w:tcPr>
            <w:tcW w:w="1467" w:type="dxa"/>
            <w:tcBorders>
              <w:top w:val="nil"/>
              <w:bottom w:val="nil"/>
            </w:tcBorders>
          </w:tcPr>
          <w:p w:rsidR="009421F1" w:rsidRPr="00BB1B43" w:rsidRDefault="009421F1" w:rsidP="001945C5">
            <w:pPr>
              <w:spacing w:line="360" w:lineRule="auto"/>
              <w:jc w:val="both"/>
              <w:rPr>
                <w:b/>
              </w:rPr>
            </w:pPr>
            <w:r w:rsidRPr="00BB1B43">
              <w:rPr>
                <w:b/>
              </w:rPr>
              <w:t>Total (%)</w:t>
            </w:r>
          </w:p>
        </w:tc>
        <w:tc>
          <w:tcPr>
            <w:tcW w:w="1066" w:type="dxa"/>
            <w:tcBorders>
              <w:top w:val="nil"/>
              <w:bottom w:val="nil"/>
            </w:tcBorders>
          </w:tcPr>
          <w:p w:rsidR="009421F1" w:rsidRPr="00BB1B43" w:rsidRDefault="009421F1" w:rsidP="001945C5">
            <w:pPr>
              <w:spacing w:line="360" w:lineRule="auto"/>
              <w:jc w:val="both"/>
            </w:pPr>
            <w:r w:rsidRPr="00BB1B43">
              <w:t>1(2.86)</w:t>
            </w:r>
          </w:p>
        </w:tc>
        <w:tc>
          <w:tcPr>
            <w:tcW w:w="1066" w:type="dxa"/>
            <w:tcBorders>
              <w:top w:val="nil"/>
              <w:bottom w:val="nil"/>
            </w:tcBorders>
          </w:tcPr>
          <w:p w:rsidR="009421F1" w:rsidRPr="00BB1B43" w:rsidRDefault="009421F1" w:rsidP="001945C5">
            <w:pPr>
              <w:spacing w:line="360" w:lineRule="auto"/>
              <w:jc w:val="both"/>
            </w:pPr>
            <w:r w:rsidRPr="00BB1B43">
              <w:t>7(20.00)</w:t>
            </w:r>
          </w:p>
        </w:tc>
        <w:tc>
          <w:tcPr>
            <w:tcW w:w="1156" w:type="dxa"/>
            <w:tcBorders>
              <w:top w:val="nil"/>
              <w:bottom w:val="nil"/>
            </w:tcBorders>
          </w:tcPr>
          <w:p w:rsidR="009421F1" w:rsidRPr="00BB1B43" w:rsidRDefault="009421F1" w:rsidP="001945C5">
            <w:pPr>
              <w:spacing w:line="360" w:lineRule="auto"/>
              <w:jc w:val="both"/>
            </w:pPr>
            <w:r w:rsidRPr="00BB1B43">
              <w:t>6(17.14)</w:t>
            </w:r>
          </w:p>
        </w:tc>
        <w:tc>
          <w:tcPr>
            <w:tcW w:w="1156" w:type="dxa"/>
            <w:tcBorders>
              <w:top w:val="nil"/>
              <w:bottom w:val="nil"/>
            </w:tcBorders>
          </w:tcPr>
          <w:p w:rsidR="009421F1" w:rsidRPr="00BB1B43" w:rsidRDefault="009421F1" w:rsidP="001945C5">
            <w:pPr>
              <w:spacing w:line="360" w:lineRule="auto"/>
              <w:jc w:val="both"/>
            </w:pPr>
            <w:r w:rsidRPr="00BB1B43">
              <w:t>10(28.57)</w:t>
            </w:r>
          </w:p>
        </w:tc>
        <w:tc>
          <w:tcPr>
            <w:tcW w:w="1156" w:type="dxa"/>
            <w:tcBorders>
              <w:top w:val="nil"/>
              <w:bottom w:val="nil"/>
            </w:tcBorders>
          </w:tcPr>
          <w:p w:rsidR="009421F1" w:rsidRPr="00BB1B43" w:rsidRDefault="009421F1" w:rsidP="001945C5">
            <w:pPr>
              <w:spacing w:line="360" w:lineRule="auto"/>
              <w:jc w:val="both"/>
            </w:pPr>
            <w:r w:rsidRPr="00BB1B43">
              <w:t>7(20.00)</w:t>
            </w:r>
          </w:p>
        </w:tc>
        <w:tc>
          <w:tcPr>
            <w:tcW w:w="1066" w:type="dxa"/>
            <w:tcBorders>
              <w:top w:val="nil"/>
              <w:bottom w:val="nil"/>
            </w:tcBorders>
          </w:tcPr>
          <w:p w:rsidR="009421F1" w:rsidRPr="00BB1B43" w:rsidRDefault="009421F1" w:rsidP="001945C5">
            <w:pPr>
              <w:spacing w:line="360" w:lineRule="auto"/>
              <w:jc w:val="both"/>
            </w:pPr>
            <w:r w:rsidRPr="00BB1B43">
              <w:t>3(8.57)</w:t>
            </w:r>
          </w:p>
        </w:tc>
        <w:tc>
          <w:tcPr>
            <w:tcW w:w="1066" w:type="dxa"/>
            <w:tcBorders>
              <w:top w:val="nil"/>
              <w:bottom w:val="nil"/>
            </w:tcBorders>
          </w:tcPr>
          <w:p w:rsidR="009421F1" w:rsidRPr="00BB1B43" w:rsidRDefault="009421F1" w:rsidP="001945C5">
            <w:pPr>
              <w:spacing w:line="360" w:lineRule="auto"/>
              <w:jc w:val="both"/>
            </w:pPr>
            <w:r w:rsidRPr="00BB1B43">
              <w:t>1(2.86)</w:t>
            </w:r>
          </w:p>
        </w:tc>
        <w:tc>
          <w:tcPr>
            <w:tcW w:w="1101" w:type="dxa"/>
            <w:tcBorders>
              <w:top w:val="nil"/>
              <w:bottom w:val="nil"/>
            </w:tcBorders>
          </w:tcPr>
          <w:p w:rsidR="009421F1" w:rsidRPr="00BB1B43" w:rsidRDefault="009421F1" w:rsidP="001945C5">
            <w:pPr>
              <w:spacing w:line="360" w:lineRule="auto"/>
              <w:jc w:val="both"/>
            </w:pPr>
            <w:r w:rsidRPr="00BB1B43">
              <w:rPr>
                <w:b/>
              </w:rPr>
              <w:t>35 (100</w:t>
            </w:r>
            <w:r w:rsidRPr="00BB1B43">
              <w:t>)</w:t>
            </w:r>
          </w:p>
        </w:tc>
      </w:tr>
    </w:tbl>
    <w:p w:rsidR="009421F1" w:rsidRPr="00BB1B43" w:rsidRDefault="009421F1" w:rsidP="009421F1">
      <w:pPr>
        <w:spacing w:line="480" w:lineRule="auto"/>
        <w:jc w:val="both"/>
      </w:pPr>
      <w:r w:rsidRPr="00BB1B43">
        <w:t>(P = 0.02)</w:t>
      </w:r>
    </w:p>
    <w:p w:rsidR="009421F1" w:rsidRDefault="009421F1" w:rsidP="009421F1">
      <w:pPr>
        <w:spacing w:line="480" w:lineRule="auto"/>
        <w:jc w:val="both"/>
        <w:rPr>
          <w:b/>
          <w:lang w:eastAsia="en-GB"/>
        </w:rPr>
      </w:pPr>
    </w:p>
    <w:p w:rsidR="009421F1" w:rsidRDefault="009421F1" w:rsidP="009421F1">
      <w:pPr>
        <w:spacing w:line="480" w:lineRule="auto"/>
        <w:jc w:val="both"/>
        <w:rPr>
          <w:b/>
          <w:lang w:eastAsia="en-GB"/>
        </w:rPr>
      </w:pPr>
    </w:p>
    <w:p w:rsidR="009421F1" w:rsidRDefault="009421F1" w:rsidP="009421F1">
      <w:pPr>
        <w:spacing w:line="480" w:lineRule="auto"/>
        <w:jc w:val="both"/>
        <w:rPr>
          <w:b/>
          <w:lang w:eastAsia="en-GB"/>
        </w:rPr>
      </w:pPr>
    </w:p>
    <w:p w:rsidR="009421F1" w:rsidRDefault="009421F1" w:rsidP="009421F1">
      <w:pPr>
        <w:spacing w:line="480" w:lineRule="auto"/>
        <w:jc w:val="both"/>
        <w:rPr>
          <w:b/>
          <w:lang w:eastAsia="en-GB"/>
        </w:rPr>
      </w:pPr>
    </w:p>
    <w:p w:rsidR="009421F1" w:rsidRDefault="009421F1" w:rsidP="009421F1">
      <w:pPr>
        <w:spacing w:line="480" w:lineRule="auto"/>
        <w:jc w:val="both"/>
        <w:rPr>
          <w:b/>
          <w:lang w:eastAsia="en-GB"/>
        </w:rPr>
      </w:pPr>
    </w:p>
    <w:p w:rsidR="009421F1" w:rsidRPr="00BB1B43" w:rsidRDefault="009421F1" w:rsidP="009421F1">
      <w:pPr>
        <w:spacing w:line="480" w:lineRule="auto"/>
        <w:jc w:val="both"/>
        <w:rPr>
          <w:b/>
        </w:rPr>
      </w:pPr>
      <w:r w:rsidRPr="00BB1B43">
        <w:rPr>
          <w:b/>
          <w:lang w:eastAsia="en-GB"/>
        </w:rPr>
        <w:lastRenderedPageBreak/>
        <w:t> </w:t>
      </w:r>
      <w:r w:rsidRPr="00BB1B43">
        <w:rPr>
          <w:lang w:eastAsia="en-GB"/>
        </w:rPr>
        <w:t>The comparison o</w:t>
      </w:r>
      <w:r>
        <w:rPr>
          <w:lang w:eastAsia="en-GB"/>
        </w:rPr>
        <w:t>f rubella susceptibility with</w:t>
      </w:r>
      <w:r w:rsidRPr="00BB1B43">
        <w:rPr>
          <w:lang w:eastAsia="en-GB"/>
        </w:rPr>
        <w:t xml:space="preserve"> chronic HBV carriers and free subjects (non-carriers) was shown in Table 3.4. Rubella susceptibility was found to be 25.81% among the HBV sero-positive subjects as against 12.91% of HVB</w:t>
      </w:r>
      <w:r>
        <w:rPr>
          <w:lang w:eastAsia="en-GB"/>
        </w:rPr>
        <w:t xml:space="preserve"> free subjects</w:t>
      </w:r>
      <w:r w:rsidRPr="00BB1B43">
        <w:rPr>
          <w:lang w:eastAsia="en-GB"/>
        </w:rPr>
        <w:t xml:space="preserve"> (P=0.03). </w:t>
      </w:r>
      <w:r w:rsidRPr="00BB1B43">
        <w:rPr>
          <w:b/>
        </w:rPr>
        <w:t xml:space="preserve">  </w:t>
      </w:r>
    </w:p>
    <w:tbl>
      <w:tblPr>
        <w:tblpPr w:leftFromText="180" w:rightFromText="180" w:vertAnchor="text" w:horzAnchor="page" w:tblpX="1849" w:tblpY="718"/>
        <w:tblW w:w="8478" w:type="dxa"/>
        <w:tblLook w:val="01E0"/>
      </w:tblPr>
      <w:tblGrid>
        <w:gridCol w:w="1602"/>
        <w:gridCol w:w="1566"/>
        <w:gridCol w:w="1026"/>
        <w:gridCol w:w="594"/>
        <w:gridCol w:w="1800"/>
        <w:gridCol w:w="1890"/>
      </w:tblGrid>
      <w:tr w:rsidR="009421F1" w:rsidRPr="00BB1B43" w:rsidTr="001945C5">
        <w:tc>
          <w:tcPr>
            <w:tcW w:w="4194" w:type="dxa"/>
            <w:gridSpan w:val="3"/>
            <w:tcBorders>
              <w:top w:val="single" w:sz="4" w:space="0" w:color="auto"/>
              <w:bottom w:val="single" w:sz="4" w:space="0" w:color="auto"/>
            </w:tcBorders>
          </w:tcPr>
          <w:p w:rsidR="009421F1" w:rsidRPr="00BB1B43" w:rsidRDefault="009421F1" w:rsidP="001945C5">
            <w:pPr>
              <w:spacing w:line="480" w:lineRule="auto"/>
              <w:jc w:val="both"/>
              <w:outlineLvl w:val="0"/>
              <w:rPr>
                <w:b/>
              </w:rPr>
            </w:pPr>
            <w:r w:rsidRPr="00BB1B43">
              <w:rPr>
                <w:b/>
              </w:rPr>
              <w:t xml:space="preserve">                                       Chronic HBV Carriers</w:t>
            </w:r>
          </w:p>
        </w:tc>
        <w:tc>
          <w:tcPr>
            <w:tcW w:w="4284" w:type="dxa"/>
            <w:gridSpan w:val="3"/>
            <w:tcBorders>
              <w:top w:val="single" w:sz="4" w:space="0" w:color="auto"/>
              <w:bottom w:val="single" w:sz="4" w:space="0" w:color="auto"/>
            </w:tcBorders>
          </w:tcPr>
          <w:p w:rsidR="009421F1" w:rsidRPr="00BB1B43" w:rsidRDefault="009421F1" w:rsidP="001945C5">
            <w:pPr>
              <w:spacing w:line="480" w:lineRule="auto"/>
              <w:jc w:val="both"/>
              <w:outlineLvl w:val="0"/>
              <w:rPr>
                <w:b/>
              </w:rPr>
            </w:pPr>
            <w:r w:rsidRPr="00BB1B43">
              <w:rPr>
                <w:b/>
              </w:rPr>
              <w:t xml:space="preserve">       Control </w:t>
            </w:r>
          </w:p>
        </w:tc>
      </w:tr>
      <w:tr w:rsidR="009421F1" w:rsidRPr="00BB1B43" w:rsidTr="001945C5">
        <w:trPr>
          <w:trHeight w:val="1232"/>
        </w:trPr>
        <w:tc>
          <w:tcPr>
            <w:tcW w:w="1602" w:type="dxa"/>
            <w:tcBorders>
              <w:top w:val="single" w:sz="4" w:space="0" w:color="auto"/>
              <w:bottom w:val="single" w:sz="4" w:space="0" w:color="auto"/>
            </w:tcBorders>
          </w:tcPr>
          <w:p w:rsidR="009421F1" w:rsidRPr="00BB1B43" w:rsidRDefault="009421F1" w:rsidP="001945C5">
            <w:pPr>
              <w:spacing w:line="480" w:lineRule="auto"/>
              <w:jc w:val="both"/>
              <w:outlineLvl w:val="0"/>
              <w:rPr>
                <w:b/>
              </w:rPr>
            </w:pPr>
            <w:r w:rsidRPr="00BB1B43">
              <w:rPr>
                <w:b/>
              </w:rPr>
              <w:t xml:space="preserve">Age group </w:t>
            </w:r>
          </w:p>
          <w:p w:rsidR="009421F1" w:rsidRPr="00BB1B43" w:rsidRDefault="009421F1" w:rsidP="001945C5">
            <w:pPr>
              <w:spacing w:line="480" w:lineRule="auto"/>
              <w:jc w:val="both"/>
              <w:outlineLvl w:val="0"/>
            </w:pPr>
            <w:r w:rsidRPr="00BB1B43">
              <w:rPr>
                <w:b/>
              </w:rPr>
              <w:t>(years)</w:t>
            </w:r>
          </w:p>
        </w:tc>
        <w:tc>
          <w:tcPr>
            <w:tcW w:w="1566" w:type="dxa"/>
            <w:tcBorders>
              <w:top w:val="single" w:sz="4" w:space="0" w:color="auto"/>
              <w:bottom w:val="single" w:sz="4" w:space="0" w:color="auto"/>
            </w:tcBorders>
          </w:tcPr>
          <w:p w:rsidR="009421F1" w:rsidRPr="00BB1B43" w:rsidRDefault="009421F1" w:rsidP="001945C5">
            <w:pPr>
              <w:spacing w:line="480" w:lineRule="auto"/>
              <w:jc w:val="both"/>
              <w:outlineLvl w:val="0"/>
            </w:pPr>
            <w:r w:rsidRPr="00BB1B43">
              <w:t xml:space="preserve">HBV-Carriers </w:t>
            </w:r>
          </w:p>
          <w:p w:rsidR="009421F1" w:rsidRPr="00BB1B43" w:rsidRDefault="009421F1" w:rsidP="001945C5">
            <w:pPr>
              <w:spacing w:line="480" w:lineRule="auto"/>
              <w:jc w:val="both"/>
              <w:outlineLvl w:val="0"/>
            </w:pPr>
            <w:r w:rsidRPr="00BB1B43">
              <w:t>(%)</w:t>
            </w:r>
          </w:p>
        </w:tc>
        <w:tc>
          <w:tcPr>
            <w:tcW w:w="1620" w:type="dxa"/>
            <w:gridSpan w:val="2"/>
            <w:tcBorders>
              <w:top w:val="single" w:sz="4" w:space="0" w:color="auto"/>
              <w:bottom w:val="single" w:sz="4" w:space="0" w:color="auto"/>
            </w:tcBorders>
          </w:tcPr>
          <w:p w:rsidR="009421F1" w:rsidRPr="00BB1B43" w:rsidRDefault="009421F1" w:rsidP="001945C5">
            <w:pPr>
              <w:spacing w:line="480" w:lineRule="auto"/>
              <w:jc w:val="both"/>
              <w:outlineLvl w:val="0"/>
            </w:pPr>
            <w:r w:rsidRPr="00BB1B43">
              <w:t xml:space="preserve">Rubella Susceptibility </w:t>
            </w:r>
          </w:p>
          <w:p w:rsidR="009421F1" w:rsidRPr="00BB1B43" w:rsidRDefault="009421F1" w:rsidP="001945C5">
            <w:pPr>
              <w:spacing w:line="480" w:lineRule="auto"/>
              <w:jc w:val="both"/>
              <w:outlineLvl w:val="0"/>
            </w:pPr>
            <w:r w:rsidRPr="00BB1B43">
              <w:t>(%)</w:t>
            </w:r>
          </w:p>
        </w:tc>
        <w:tc>
          <w:tcPr>
            <w:tcW w:w="1800" w:type="dxa"/>
            <w:tcBorders>
              <w:top w:val="single" w:sz="4" w:space="0" w:color="auto"/>
              <w:bottom w:val="single" w:sz="4" w:space="0" w:color="auto"/>
            </w:tcBorders>
          </w:tcPr>
          <w:p w:rsidR="009421F1" w:rsidRPr="00BB1B43" w:rsidRDefault="009421F1" w:rsidP="001945C5">
            <w:pPr>
              <w:spacing w:line="480" w:lineRule="auto"/>
              <w:jc w:val="both"/>
              <w:outlineLvl w:val="0"/>
            </w:pPr>
            <w:r w:rsidRPr="00BB1B43">
              <w:t>HBV non Carriers (%)</w:t>
            </w:r>
          </w:p>
        </w:tc>
        <w:tc>
          <w:tcPr>
            <w:tcW w:w="1890" w:type="dxa"/>
            <w:tcBorders>
              <w:top w:val="single" w:sz="4" w:space="0" w:color="auto"/>
              <w:bottom w:val="single" w:sz="4" w:space="0" w:color="auto"/>
            </w:tcBorders>
          </w:tcPr>
          <w:p w:rsidR="009421F1" w:rsidRPr="00BB1B43" w:rsidRDefault="009421F1" w:rsidP="001945C5">
            <w:pPr>
              <w:spacing w:line="480" w:lineRule="auto"/>
              <w:jc w:val="both"/>
              <w:outlineLvl w:val="0"/>
            </w:pPr>
            <w:r w:rsidRPr="00BB1B43">
              <w:t>Rubella Susceptibility (%)</w:t>
            </w:r>
          </w:p>
        </w:tc>
      </w:tr>
      <w:tr w:rsidR="009421F1" w:rsidRPr="00BB1B43" w:rsidTr="001945C5">
        <w:tc>
          <w:tcPr>
            <w:tcW w:w="1602" w:type="dxa"/>
            <w:tcBorders>
              <w:top w:val="single" w:sz="4" w:space="0" w:color="auto"/>
            </w:tcBorders>
          </w:tcPr>
          <w:p w:rsidR="009421F1" w:rsidRPr="00BB1B43" w:rsidRDefault="009421F1" w:rsidP="001945C5">
            <w:pPr>
              <w:spacing w:line="480" w:lineRule="auto"/>
              <w:jc w:val="both"/>
              <w:outlineLvl w:val="0"/>
            </w:pPr>
            <w:r w:rsidRPr="00BB1B43">
              <w:t>15 – 19</w:t>
            </w:r>
          </w:p>
        </w:tc>
        <w:tc>
          <w:tcPr>
            <w:tcW w:w="1566" w:type="dxa"/>
            <w:tcBorders>
              <w:top w:val="single" w:sz="4" w:space="0" w:color="auto"/>
            </w:tcBorders>
          </w:tcPr>
          <w:p w:rsidR="009421F1" w:rsidRPr="00BB1B43" w:rsidRDefault="009421F1" w:rsidP="001945C5">
            <w:pPr>
              <w:spacing w:line="480" w:lineRule="auto"/>
              <w:jc w:val="both"/>
              <w:outlineLvl w:val="0"/>
            </w:pPr>
            <w:r w:rsidRPr="00BB1B43">
              <w:t xml:space="preserve">2 (6.45) </w:t>
            </w:r>
          </w:p>
        </w:tc>
        <w:tc>
          <w:tcPr>
            <w:tcW w:w="1620" w:type="dxa"/>
            <w:gridSpan w:val="2"/>
            <w:tcBorders>
              <w:top w:val="single" w:sz="4" w:space="0" w:color="auto"/>
            </w:tcBorders>
          </w:tcPr>
          <w:p w:rsidR="009421F1" w:rsidRPr="00BB1B43" w:rsidRDefault="009421F1" w:rsidP="001945C5">
            <w:pPr>
              <w:spacing w:line="480" w:lineRule="auto"/>
              <w:jc w:val="both"/>
              <w:outlineLvl w:val="0"/>
            </w:pPr>
            <w:r w:rsidRPr="00BB1B43">
              <w:t>0(0.00)</w:t>
            </w:r>
          </w:p>
        </w:tc>
        <w:tc>
          <w:tcPr>
            <w:tcW w:w="1800" w:type="dxa"/>
            <w:tcBorders>
              <w:top w:val="single" w:sz="4" w:space="0" w:color="auto"/>
            </w:tcBorders>
          </w:tcPr>
          <w:p w:rsidR="009421F1" w:rsidRPr="00BB1B43" w:rsidRDefault="009421F1" w:rsidP="001945C5">
            <w:pPr>
              <w:spacing w:line="480" w:lineRule="auto"/>
              <w:jc w:val="both"/>
              <w:outlineLvl w:val="0"/>
            </w:pPr>
            <w:r w:rsidRPr="00BB1B43">
              <w:t>2 (6.46)</w:t>
            </w:r>
          </w:p>
        </w:tc>
        <w:tc>
          <w:tcPr>
            <w:tcW w:w="1890" w:type="dxa"/>
            <w:tcBorders>
              <w:top w:val="single" w:sz="4" w:space="0" w:color="auto"/>
            </w:tcBorders>
          </w:tcPr>
          <w:p w:rsidR="009421F1" w:rsidRPr="00BB1B43" w:rsidRDefault="009421F1" w:rsidP="001945C5">
            <w:pPr>
              <w:spacing w:line="480" w:lineRule="auto"/>
              <w:jc w:val="both"/>
              <w:outlineLvl w:val="0"/>
            </w:pPr>
            <w:r w:rsidRPr="00BB1B43">
              <w:t>0(0.00)</w:t>
            </w:r>
          </w:p>
        </w:tc>
      </w:tr>
      <w:tr w:rsidR="009421F1" w:rsidRPr="00BB1B43" w:rsidTr="001945C5">
        <w:tc>
          <w:tcPr>
            <w:tcW w:w="1602" w:type="dxa"/>
          </w:tcPr>
          <w:p w:rsidR="009421F1" w:rsidRPr="00BB1B43" w:rsidRDefault="009421F1" w:rsidP="001945C5">
            <w:pPr>
              <w:spacing w:line="480" w:lineRule="auto"/>
              <w:jc w:val="both"/>
              <w:outlineLvl w:val="0"/>
            </w:pPr>
            <w:r w:rsidRPr="00BB1B43">
              <w:t xml:space="preserve">20 – 24 </w:t>
            </w:r>
          </w:p>
        </w:tc>
        <w:tc>
          <w:tcPr>
            <w:tcW w:w="1566" w:type="dxa"/>
          </w:tcPr>
          <w:p w:rsidR="009421F1" w:rsidRPr="00BB1B43" w:rsidRDefault="009421F1" w:rsidP="001945C5">
            <w:pPr>
              <w:spacing w:line="480" w:lineRule="auto"/>
              <w:jc w:val="both"/>
              <w:outlineLvl w:val="0"/>
            </w:pPr>
            <w:r w:rsidRPr="00BB1B43">
              <w:t>15 (48.38)</w:t>
            </w:r>
          </w:p>
        </w:tc>
        <w:tc>
          <w:tcPr>
            <w:tcW w:w="1620" w:type="dxa"/>
            <w:gridSpan w:val="2"/>
          </w:tcPr>
          <w:p w:rsidR="009421F1" w:rsidRPr="00BB1B43" w:rsidRDefault="009421F1" w:rsidP="001945C5">
            <w:pPr>
              <w:spacing w:line="480" w:lineRule="auto"/>
              <w:jc w:val="both"/>
              <w:outlineLvl w:val="0"/>
            </w:pPr>
            <w:r w:rsidRPr="00BB1B43">
              <w:t>5 (16.13)</w:t>
            </w:r>
          </w:p>
        </w:tc>
        <w:tc>
          <w:tcPr>
            <w:tcW w:w="1800" w:type="dxa"/>
          </w:tcPr>
          <w:p w:rsidR="009421F1" w:rsidRPr="00BB1B43" w:rsidRDefault="009421F1" w:rsidP="001945C5">
            <w:pPr>
              <w:spacing w:line="480" w:lineRule="auto"/>
              <w:jc w:val="both"/>
              <w:outlineLvl w:val="0"/>
            </w:pPr>
            <w:r w:rsidRPr="00BB1B43">
              <w:t>15 (48.38)</w:t>
            </w:r>
          </w:p>
        </w:tc>
        <w:tc>
          <w:tcPr>
            <w:tcW w:w="1890" w:type="dxa"/>
          </w:tcPr>
          <w:p w:rsidR="009421F1" w:rsidRPr="00BB1B43" w:rsidRDefault="009421F1" w:rsidP="001945C5">
            <w:pPr>
              <w:spacing w:line="480" w:lineRule="auto"/>
              <w:jc w:val="both"/>
              <w:outlineLvl w:val="0"/>
            </w:pPr>
            <w:r w:rsidRPr="00BB1B43">
              <w:t>2 (6.45)</w:t>
            </w:r>
          </w:p>
        </w:tc>
      </w:tr>
      <w:tr w:rsidR="009421F1" w:rsidRPr="00BB1B43" w:rsidTr="001945C5">
        <w:trPr>
          <w:trHeight w:val="522"/>
        </w:trPr>
        <w:tc>
          <w:tcPr>
            <w:tcW w:w="1602" w:type="dxa"/>
          </w:tcPr>
          <w:p w:rsidR="009421F1" w:rsidRPr="00BB1B43" w:rsidRDefault="009421F1" w:rsidP="001945C5">
            <w:pPr>
              <w:spacing w:line="480" w:lineRule="auto"/>
              <w:jc w:val="both"/>
              <w:outlineLvl w:val="0"/>
            </w:pPr>
            <w:r w:rsidRPr="00BB1B43">
              <w:t xml:space="preserve">25 – 29 </w:t>
            </w:r>
          </w:p>
        </w:tc>
        <w:tc>
          <w:tcPr>
            <w:tcW w:w="1566" w:type="dxa"/>
          </w:tcPr>
          <w:p w:rsidR="009421F1" w:rsidRPr="00BB1B43" w:rsidRDefault="009421F1" w:rsidP="001945C5">
            <w:pPr>
              <w:spacing w:line="480" w:lineRule="auto"/>
              <w:jc w:val="both"/>
              <w:outlineLvl w:val="0"/>
            </w:pPr>
            <w:r w:rsidRPr="00BB1B43">
              <w:t>7 (22.58)</w:t>
            </w:r>
          </w:p>
        </w:tc>
        <w:tc>
          <w:tcPr>
            <w:tcW w:w="1620" w:type="dxa"/>
            <w:gridSpan w:val="2"/>
          </w:tcPr>
          <w:p w:rsidR="009421F1" w:rsidRPr="00BB1B43" w:rsidRDefault="009421F1" w:rsidP="001945C5">
            <w:pPr>
              <w:spacing w:line="480" w:lineRule="auto"/>
              <w:jc w:val="both"/>
              <w:outlineLvl w:val="0"/>
            </w:pPr>
            <w:r w:rsidRPr="00BB1B43">
              <w:t>2 (6.45)</w:t>
            </w:r>
          </w:p>
        </w:tc>
        <w:tc>
          <w:tcPr>
            <w:tcW w:w="1800" w:type="dxa"/>
          </w:tcPr>
          <w:p w:rsidR="009421F1" w:rsidRPr="00BB1B43" w:rsidRDefault="009421F1" w:rsidP="001945C5">
            <w:pPr>
              <w:spacing w:line="480" w:lineRule="auto"/>
              <w:jc w:val="both"/>
              <w:outlineLvl w:val="0"/>
            </w:pPr>
            <w:r w:rsidRPr="00BB1B43">
              <w:t>7 (22.58)</w:t>
            </w:r>
          </w:p>
        </w:tc>
        <w:tc>
          <w:tcPr>
            <w:tcW w:w="1890" w:type="dxa"/>
          </w:tcPr>
          <w:p w:rsidR="009421F1" w:rsidRPr="00BB1B43" w:rsidRDefault="009421F1" w:rsidP="001945C5">
            <w:pPr>
              <w:spacing w:line="480" w:lineRule="auto"/>
              <w:jc w:val="both"/>
              <w:outlineLvl w:val="0"/>
            </w:pPr>
            <w:r w:rsidRPr="00BB1B43">
              <w:t>1 (3.23)</w:t>
            </w:r>
          </w:p>
        </w:tc>
      </w:tr>
      <w:tr w:rsidR="009421F1" w:rsidRPr="00BB1B43" w:rsidTr="001945C5">
        <w:tc>
          <w:tcPr>
            <w:tcW w:w="1602" w:type="dxa"/>
          </w:tcPr>
          <w:p w:rsidR="009421F1" w:rsidRPr="00BB1B43" w:rsidRDefault="009421F1" w:rsidP="001945C5">
            <w:pPr>
              <w:spacing w:line="480" w:lineRule="auto"/>
              <w:jc w:val="both"/>
              <w:outlineLvl w:val="0"/>
            </w:pPr>
            <w:r w:rsidRPr="00BB1B43">
              <w:t xml:space="preserve">30 – 34 </w:t>
            </w:r>
          </w:p>
        </w:tc>
        <w:tc>
          <w:tcPr>
            <w:tcW w:w="1566" w:type="dxa"/>
          </w:tcPr>
          <w:p w:rsidR="009421F1" w:rsidRPr="00BB1B43" w:rsidRDefault="009421F1" w:rsidP="001945C5">
            <w:pPr>
              <w:spacing w:line="480" w:lineRule="auto"/>
              <w:jc w:val="both"/>
              <w:outlineLvl w:val="0"/>
            </w:pPr>
            <w:r w:rsidRPr="00BB1B43">
              <w:t>5 (16.13)</w:t>
            </w:r>
          </w:p>
        </w:tc>
        <w:tc>
          <w:tcPr>
            <w:tcW w:w="1620" w:type="dxa"/>
            <w:gridSpan w:val="2"/>
          </w:tcPr>
          <w:p w:rsidR="009421F1" w:rsidRPr="00BB1B43" w:rsidRDefault="009421F1" w:rsidP="001945C5">
            <w:pPr>
              <w:spacing w:line="480" w:lineRule="auto"/>
              <w:jc w:val="both"/>
              <w:outlineLvl w:val="0"/>
            </w:pPr>
            <w:r w:rsidRPr="00BB1B43">
              <w:t>1 (3.23)</w:t>
            </w:r>
          </w:p>
        </w:tc>
        <w:tc>
          <w:tcPr>
            <w:tcW w:w="1800" w:type="dxa"/>
          </w:tcPr>
          <w:p w:rsidR="009421F1" w:rsidRPr="00BB1B43" w:rsidRDefault="009421F1" w:rsidP="001945C5">
            <w:pPr>
              <w:spacing w:line="480" w:lineRule="auto"/>
              <w:jc w:val="both"/>
              <w:outlineLvl w:val="0"/>
            </w:pPr>
            <w:r w:rsidRPr="00BB1B43">
              <w:t>5 (16.13)</w:t>
            </w:r>
          </w:p>
        </w:tc>
        <w:tc>
          <w:tcPr>
            <w:tcW w:w="1890" w:type="dxa"/>
          </w:tcPr>
          <w:p w:rsidR="009421F1" w:rsidRPr="00BB1B43" w:rsidRDefault="009421F1" w:rsidP="001945C5">
            <w:pPr>
              <w:spacing w:line="480" w:lineRule="auto"/>
              <w:jc w:val="both"/>
              <w:outlineLvl w:val="0"/>
            </w:pPr>
            <w:r w:rsidRPr="00BB1B43">
              <w:t>1 (3.23)</w:t>
            </w:r>
          </w:p>
        </w:tc>
      </w:tr>
      <w:tr w:rsidR="009421F1" w:rsidRPr="00BB1B43" w:rsidTr="001945C5">
        <w:tc>
          <w:tcPr>
            <w:tcW w:w="1602" w:type="dxa"/>
          </w:tcPr>
          <w:p w:rsidR="009421F1" w:rsidRPr="00BB1B43" w:rsidRDefault="009421F1" w:rsidP="001945C5">
            <w:pPr>
              <w:spacing w:line="480" w:lineRule="auto"/>
              <w:jc w:val="both"/>
              <w:outlineLvl w:val="0"/>
            </w:pPr>
            <w:r w:rsidRPr="00BB1B43">
              <w:t xml:space="preserve">35 – 39 </w:t>
            </w:r>
          </w:p>
        </w:tc>
        <w:tc>
          <w:tcPr>
            <w:tcW w:w="1566" w:type="dxa"/>
          </w:tcPr>
          <w:p w:rsidR="009421F1" w:rsidRPr="00BB1B43" w:rsidRDefault="009421F1" w:rsidP="001945C5">
            <w:pPr>
              <w:spacing w:line="480" w:lineRule="auto"/>
              <w:jc w:val="both"/>
              <w:outlineLvl w:val="0"/>
            </w:pPr>
            <w:r w:rsidRPr="00BB1B43">
              <w:t>1 (3.23)</w:t>
            </w:r>
          </w:p>
        </w:tc>
        <w:tc>
          <w:tcPr>
            <w:tcW w:w="1620" w:type="dxa"/>
            <w:gridSpan w:val="2"/>
          </w:tcPr>
          <w:p w:rsidR="009421F1" w:rsidRPr="00BB1B43" w:rsidRDefault="009421F1" w:rsidP="001945C5">
            <w:pPr>
              <w:spacing w:line="480" w:lineRule="auto"/>
              <w:jc w:val="both"/>
              <w:outlineLvl w:val="0"/>
            </w:pPr>
            <w:r w:rsidRPr="00BB1B43">
              <w:t>0(0.00)</w:t>
            </w:r>
          </w:p>
        </w:tc>
        <w:tc>
          <w:tcPr>
            <w:tcW w:w="1800" w:type="dxa"/>
          </w:tcPr>
          <w:p w:rsidR="009421F1" w:rsidRPr="00BB1B43" w:rsidRDefault="009421F1" w:rsidP="001945C5">
            <w:pPr>
              <w:spacing w:line="480" w:lineRule="auto"/>
              <w:jc w:val="both"/>
              <w:outlineLvl w:val="0"/>
            </w:pPr>
            <w:r w:rsidRPr="00BB1B43">
              <w:t>1 (3.23)</w:t>
            </w:r>
          </w:p>
        </w:tc>
        <w:tc>
          <w:tcPr>
            <w:tcW w:w="1890" w:type="dxa"/>
          </w:tcPr>
          <w:p w:rsidR="009421F1" w:rsidRPr="00BB1B43" w:rsidRDefault="009421F1" w:rsidP="001945C5">
            <w:pPr>
              <w:spacing w:line="480" w:lineRule="auto"/>
              <w:jc w:val="both"/>
              <w:outlineLvl w:val="0"/>
            </w:pPr>
            <w:r w:rsidRPr="00BB1B43">
              <w:t>0(0.00)</w:t>
            </w:r>
          </w:p>
        </w:tc>
      </w:tr>
      <w:tr w:rsidR="009421F1" w:rsidRPr="00BB1B43" w:rsidTr="001945C5">
        <w:tc>
          <w:tcPr>
            <w:tcW w:w="1602" w:type="dxa"/>
          </w:tcPr>
          <w:p w:rsidR="009421F1" w:rsidRPr="00BB1B43" w:rsidRDefault="009421F1" w:rsidP="001945C5">
            <w:pPr>
              <w:spacing w:line="480" w:lineRule="auto"/>
              <w:jc w:val="both"/>
              <w:outlineLvl w:val="0"/>
            </w:pPr>
            <w:r w:rsidRPr="00BB1B43">
              <w:t xml:space="preserve">40 – 44 </w:t>
            </w:r>
          </w:p>
        </w:tc>
        <w:tc>
          <w:tcPr>
            <w:tcW w:w="1566" w:type="dxa"/>
          </w:tcPr>
          <w:p w:rsidR="009421F1" w:rsidRPr="00BB1B43" w:rsidRDefault="009421F1" w:rsidP="001945C5">
            <w:pPr>
              <w:spacing w:line="480" w:lineRule="auto"/>
              <w:jc w:val="both"/>
              <w:outlineLvl w:val="0"/>
            </w:pPr>
            <w:r w:rsidRPr="00BB1B43">
              <w:t>0 (0.00)</w:t>
            </w:r>
          </w:p>
        </w:tc>
        <w:tc>
          <w:tcPr>
            <w:tcW w:w="1620" w:type="dxa"/>
            <w:gridSpan w:val="2"/>
          </w:tcPr>
          <w:p w:rsidR="009421F1" w:rsidRPr="00BB1B43" w:rsidRDefault="009421F1" w:rsidP="001945C5">
            <w:pPr>
              <w:spacing w:line="480" w:lineRule="auto"/>
              <w:jc w:val="both"/>
              <w:outlineLvl w:val="0"/>
            </w:pPr>
            <w:r w:rsidRPr="00BB1B43">
              <w:t>0(0.00)</w:t>
            </w:r>
          </w:p>
        </w:tc>
        <w:tc>
          <w:tcPr>
            <w:tcW w:w="1800" w:type="dxa"/>
          </w:tcPr>
          <w:p w:rsidR="009421F1" w:rsidRPr="00BB1B43" w:rsidRDefault="009421F1" w:rsidP="001945C5">
            <w:pPr>
              <w:spacing w:line="480" w:lineRule="auto"/>
              <w:jc w:val="both"/>
              <w:outlineLvl w:val="0"/>
            </w:pPr>
            <w:r w:rsidRPr="00BB1B43">
              <w:t>0 (0.00)</w:t>
            </w:r>
          </w:p>
        </w:tc>
        <w:tc>
          <w:tcPr>
            <w:tcW w:w="1890" w:type="dxa"/>
          </w:tcPr>
          <w:p w:rsidR="009421F1" w:rsidRPr="00BB1B43" w:rsidRDefault="009421F1" w:rsidP="001945C5">
            <w:pPr>
              <w:spacing w:line="480" w:lineRule="auto"/>
              <w:jc w:val="both"/>
              <w:outlineLvl w:val="0"/>
            </w:pPr>
            <w:r w:rsidRPr="00BB1B43">
              <w:t>0(0.00)</w:t>
            </w:r>
          </w:p>
        </w:tc>
      </w:tr>
      <w:tr w:rsidR="009421F1" w:rsidRPr="00BB1B43" w:rsidTr="001945C5">
        <w:trPr>
          <w:trHeight w:val="567"/>
        </w:trPr>
        <w:tc>
          <w:tcPr>
            <w:tcW w:w="1602" w:type="dxa"/>
          </w:tcPr>
          <w:p w:rsidR="009421F1" w:rsidRPr="00BB1B43" w:rsidRDefault="009421F1" w:rsidP="001945C5">
            <w:pPr>
              <w:spacing w:line="480" w:lineRule="auto"/>
              <w:jc w:val="both"/>
              <w:outlineLvl w:val="0"/>
            </w:pPr>
            <w:r w:rsidRPr="00BB1B43">
              <w:t>45 – 49</w:t>
            </w:r>
          </w:p>
        </w:tc>
        <w:tc>
          <w:tcPr>
            <w:tcW w:w="1566" w:type="dxa"/>
          </w:tcPr>
          <w:p w:rsidR="009421F1" w:rsidRPr="00BB1B43" w:rsidRDefault="009421F1" w:rsidP="001945C5">
            <w:pPr>
              <w:spacing w:line="480" w:lineRule="auto"/>
              <w:jc w:val="both"/>
              <w:outlineLvl w:val="0"/>
            </w:pPr>
            <w:r w:rsidRPr="00BB1B43">
              <w:t>1 (3.23)</w:t>
            </w:r>
          </w:p>
        </w:tc>
        <w:tc>
          <w:tcPr>
            <w:tcW w:w="1620" w:type="dxa"/>
            <w:gridSpan w:val="2"/>
          </w:tcPr>
          <w:p w:rsidR="009421F1" w:rsidRPr="00BB1B43" w:rsidRDefault="009421F1" w:rsidP="001945C5">
            <w:pPr>
              <w:spacing w:line="480" w:lineRule="auto"/>
              <w:jc w:val="both"/>
              <w:outlineLvl w:val="0"/>
            </w:pPr>
            <w:r w:rsidRPr="00BB1B43">
              <w:t>0(0.00)</w:t>
            </w:r>
          </w:p>
        </w:tc>
        <w:tc>
          <w:tcPr>
            <w:tcW w:w="1800" w:type="dxa"/>
          </w:tcPr>
          <w:p w:rsidR="009421F1" w:rsidRPr="00BB1B43" w:rsidRDefault="009421F1" w:rsidP="001945C5">
            <w:pPr>
              <w:spacing w:line="480" w:lineRule="auto"/>
              <w:jc w:val="both"/>
              <w:outlineLvl w:val="0"/>
            </w:pPr>
            <w:r w:rsidRPr="00BB1B43">
              <w:t>1 (3.23)</w:t>
            </w:r>
          </w:p>
        </w:tc>
        <w:tc>
          <w:tcPr>
            <w:tcW w:w="1890" w:type="dxa"/>
          </w:tcPr>
          <w:p w:rsidR="009421F1" w:rsidRPr="00BB1B43" w:rsidRDefault="009421F1" w:rsidP="001945C5">
            <w:pPr>
              <w:spacing w:line="480" w:lineRule="auto"/>
              <w:jc w:val="both"/>
              <w:outlineLvl w:val="0"/>
            </w:pPr>
            <w:r w:rsidRPr="00BB1B43">
              <w:t>0(0.00)</w:t>
            </w:r>
          </w:p>
        </w:tc>
      </w:tr>
      <w:tr w:rsidR="009421F1" w:rsidRPr="00BB1B43" w:rsidTr="001945C5">
        <w:tc>
          <w:tcPr>
            <w:tcW w:w="1602" w:type="dxa"/>
            <w:tcBorders>
              <w:bottom w:val="single" w:sz="4" w:space="0" w:color="auto"/>
            </w:tcBorders>
          </w:tcPr>
          <w:p w:rsidR="009421F1" w:rsidRPr="00BB1B43" w:rsidRDefault="009421F1" w:rsidP="001945C5">
            <w:pPr>
              <w:spacing w:line="480" w:lineRule="auto"/>
              <w:jc w:val="both"/>
              <w:outlineLvl w:val="0"/>
              <w:rPr>
                <w:b/>
              </w:rPr>
            </w:pPr>
            <w:r w:rsidRPr="00BB1B43">
              <w:rPr>
                <w:b/>
              </w:rPr>
              <w:t xml:space="preserve">Total (%) </w:t>
            </w:r>
          </w:p>
        </w:tc>
        <w:tc>
          <w:tcPr>
            <w:tcW w:w="1566" w:type="dxa"/>
            <w:tcBorders>
              <w:bottom w:val="single" w:sz="4" w:space="0" w:color="auto"/>
            </w:tcBorders>
          </w:tcPr>
          <w:p w:rsidR="009421F1" w:rsidRPr="00BB1B43" w:rsidRDefault="009421F1" w:rsidP="001945C5">
            <w:pPr>
              <w:spacing w:line="480" w:lineRule="auto"/>
              <w:jc w:val="both"/>
              <w:outlineLvl w:val="0"/>
            </w:pPr>
            <w:r w:rsidRPr="00BB1B43">
              <w:t>31 (100)</w:t>
            </w:r>
          </w:p>
        </w:tc>
        <w:tc>
          <w:tcPr>
            <w:tcW w:w="1620" w:type="dxa"/>
            <w:gridSpan w:val="2"/>
            <w:tcBorders>
              <w:bottom w:val="single" w:sz="4" w:space="0" w:color="auto"/>
            </w:tcBorders>
          </w:tcPr>
          <w:p w:rsidR="009421F1" w:rsidRPr="00BB1B43" w:rsidRDefault="009421F1" w:rsidP="001945C5">
            <w:pPr>
              <w:spacing w:line="480" w:lineRule="auto"/>
              <w:jc w:val="both"/>
              <w:outlineLvl w:val="0"/>
            </w:pPr>
            <w:r w:rsidRPr="00BB1B43">
              <w:t>8 (25.81)</w:t>
            </w:r>
          </w:p>
        </w:tc>
        <w:tc>
          <w:tcPr>
            <w:tcW w:w="1800" w:type="dxa"/>
            <w:tcBorders>
              <w:bottom w:val="single" w:sz="4" w:space="0" w:color="auto"/>
            </w:tcBorders>
          </w:tcPr>
          <w:p w:rsidR="009421F1" w:rsidRPr="00BB1B43" w:rsidRDefault="009421F1" w:rsidP="001945C5">
            <w:pPr>
              <w:spacing w:line="480" w:lineRule="auto"/>
              <w:jc w:val="both"/>
              <w:outlineLvl w:val="0"/>
            </w:pPr>
            <w:r w:rsidRPr="00BB1B43">
              <w:t>31 (100)</w:t>
            </w:r>
          </w:p>
        </w:tc>
        <w:tc>
          <w:tcPr>
            <w:tcW w:w="1890" w:type="dxa"/>
            <w:tcBorders>
              <w:bottom w:val="single" w:sz="4" w:space="0" w:color="auto"/>
            </w:tcBorders>
          </w:tcPr>
          <w:p w:rsidR="009421F1" w:rsidRPr="00BB1B43" w:rsidRDefault="009421F1" w:rsidP="001945C5">
            <w:pPr>
              <w:spacing w:line="480" w:lineRule="auto"/>
              <w:jc w:val="both"/>
              <w:outlineLvl w:val="0"/>
            </w:pPr>
            <w:r w:rsidRPr="00BB1B43">
              <w:t>4 (12.91)</w:t>
            </w:r>
          </w:p>
        </w:tc>
      </w:tr>
    </w:tbl>
    <w:p w:rsidR="009421F1" w:rsidRPr="00BB1B43" w:rsidRDefault="009421F1" w:rsidP="009421F1">
      <w:pPr>
        <w:spacing w:line="480" w:lineRule="auto"/>
        <w:jc w:val="both"/>
        <w:rPr>
          <w:b/>
          <w:i/>
        </w:rPr>
      </w:pPr>
      <w:r w:rsidRPr="00BB1B43">
        <w:rPr>
          <w:b/>
        </w:rPr>
        <w:t xml:space="preserve"> </w:t>
      </w:r>
      <w:r w:rsidRPr="00BB1B43">
        <w:rPr>
          <w:b/>
          <w:i/>
        </w:rPr>
        <w:t xml:space="preserve">Table 3.4: Comparison </w:t>
      </w:r>
      <w:r>
        <w:rPr>
          <w:b/>
          <w:i/>
        </w:rPr>
        <w:t>of Rubella Susceptibility with</w:t>
      </w:r>
      <w:r w:rsidRPr="00BB1B43">
        <w:rPr>
          <w:b/>
          <w:i/>
        </w:rPr>
        <w:t xml:space="preserve"> HBV Carriers and HBV Free Subjects </w:t>
      </w:r>
    </w:p>
    <w:p w:rsidR="009421F1" w:rsidRPr="00BB1B43" w:rsidRDefault="009421F1" w:rsidP="009421F1">
      <w:pPr>
        <w:spacing w:line="480" w:lineRule="auto"/>
        <w:jc w:val="both"/>
        <w:rPr>
          <w:b/>
        </w:rPr>
      </w:pPr>
      <w:r w:rsidRPr="00BB1B43">
        <w:rPr>
          <w:b/>
        </w:rPr>
        <w:t xml:space="preserve">   </w:t>
      </w:r>
    </w:p>
    <w:p w:rsidR="009421F1" w:rsidRPr="00BB1B43" w:rsidRDefault="009421F1" w:rsidP="009421F1">
      <w:pPr>
        <w:spacing w:line="480" w:lineRule="auto"/>
        <w:jc w:val="both"/>
        <w:rPr>
          <w:lang w:eastAsia="en-GB"/>
        </w:rPr>
      </w:pPr>
      <w:r w:rsidRPr="00BB1B43">
        <w:rPr>
          <w:b/>
        </w:rPr>
        <w:t xml:space="preserve">  </w:t>
      </w:r>
      <w:r w:rsidRPr="00BB1B43">
        <w:rPr>
          <w:b/>
          <w:lang w:eastAsia="en-GB"/>
        </w:rPr>
        <w:t xml:space="preserve">4.0 Discussions </w:t>
      </w:r>
    </w:p>
    <w:p w:rsidR="009421F1" w:rsidRPr="00BB1B43" w:rsidRDefault="009421F1" w:rsidP="009421F1">
      <w:pPr>
        <w:spacing w:before="100" w:beforeAutospacing="1"/>
        <w:jc w:val="both"/>
        <w:rPr>
          <w:lang w:eastAsia="en-GB"/>
        </w:rPr>
      </w:pPr>
      <w:r w:rsidRPr="00BB1B43">
        <w:rPr>
          <w:lang w:eastAsia="en-GB"/>
        </w:rPr>
        <w:t>It is wel</w:t>
      </w:r>
      <w:r>
        <w:rPr>
          <w:lang w:eastAsia="en-GB"/>
        </w:rPr>
        <w:t>l known that HBV</w:t>
      </w:r>
      <w:r w:rsidRPr="00BB1B43">
        <w:rPr>
          <w:lang w:eastAsia="en-GB"/>
        </w:rPr>
        <w:t xml:space="preserve"> infection is endemic </w:t>
      </w:r>
      <w:r>
        <w:rPr>
          <w:lang w:eastAsia="en-GB"/>
        </w:rPr>
        <w:t xml:space="preserve">in </w:t>
      </w:r>
      <w:r w:rsidRPr="00BB1B43">
        <w:rPr>
          <w:lang w:eastAsia="en-GB"/>
        </w:rPr>
        <w:t>Nigeria. Even though studies have been carried out on hepatitis B virus infecti</w:t>
      </w:r>
      <w:r>
        <w:rPr>
          <w:lang w:eastAsia="en-GB"/>
        </w:rPr>
        <w:t>on in different parts of the country</w:t>
      </w:r>
      <w:r w:rsidRPr="00BB1B43">
        <w:rPr>
          <w:lang w:eastAsia="en-GB"/>
        </w:rPr>
        <w:t>, and different sub – groups of indivi</w:t>
      </w:r>
      <w:r>
        <w:rPr>
          <w:lang w:eastAsia="en-GB"/>
        </w:rPr>
        <w:t>duals, information regarding its</w:t>
      </w:r>
      <w:r w:rsidRPr="00BB1B43">
        <w:rPr>
          <w:lang w:eastAsia="en-GB"/>
        </w:rPr>
        <w:t xml:space="preserve"> prevalenc</w:t>
      </w:r>
      <w:r>
        <w:rPr>
          <w:lang w:eastAsia="en-GB"/>
        </w:rPr>
        <w:t>e</w:t>
      </w:r>
      <w:r w:rsidRPr="00BB1B43">
        <w:rPr>
          <w:lang w:eastAsia="en-GB"/>
        </w:rPr>
        <w:t xml:space="preserve"> in pregnant subjects is scanty especially from the north –</w:t>
      </w:r>
      <w:r>
        <w:rPr>
          <w:lang w:eastAsia="en-GB"/>
        </w:rPr>
        <w:t xml:space="preserve"> eastern region</w:t>
      </w:r>
      <w:r w:rsidRPr="00BB1B43">
        <w:rPr>
          <w:lang w:eastAsia="en-GB"/>
        </w:rPr>
        <w:t xml:space="preserve"> </w:t>
      </w:r>
      <w:r w:rsidRPr="00BB1B43">
        <w:t>[9]</w:t>
      </w:r>
      <w:r>
        <w:t>.</w:t>
      </w:r>
      <w:r w:rsidRPr="00BB1B43">
        <w:rPr>
          <w:lang w:eastAsia="en-GB"/>
        </w:rPr>
        <w:t xml:space="preserve"> </w:t>
      </w:r>
    </w:p>
    <w:p w:rsidR="009421F1" w:rsidRPr="00BB1B43" w:rsidRDefault="009421F1" w:rsidP="009421F1">
      <w:pPr>
        <w:spacing w:before="100" w:beforeAutospacing="1"/>
        <w:jc w:val="both"/>
        <w:rPr>
          <w:lang w:eastAsia="en-GB"/>
        </w:rPr>
      </w:pPr>
      <w:r w:rsidRPr="00BB1B43">
        <w:rPr>
          <w:lang w:eastAsia="en-GB"/>
        </w:rPr>
        <w:t xml:space="preserve">The classification of high </w:t>
      </w:r>
      <w:r>
        <w:rPr>
          <w:lang w:eastAsia="en-GB"/>
        </w:rPr>
        <w:t>endemicity for HBV</w:t>
      </w:r>
      <w:r w:rsidRPr="00BB1B43">
        <w:rPr>
          <w:lang w:eastAsia="en-GB"/>
        </w:rPr>
        <w:t xml:space="preserve"> infection has been defined as HBsAg greater than 7.00% in adult population </w:t>
      </w:r>
      <w:r w:rsidRPr="00BB1B43">
        <w:t>[25]</w:t>
      </w:r>
      <w:r w:rsidRPr="00BB1B43">
        <w:rPr>
          <w:lang w:eastAsia="en-GB"/>
        </w:rPr>
        <w:t>. The HBsAg sero-positivity of 10.76% among pregnant women in our study (Table 3.1)</w:t>
      </w:r>
      <w:r>
        <w:rPr>
          <w:lang w:eastAsia="en-GB"/>
        </w:rPr>
        <w:t xml:space="preserve"> shows that the North-</w:t>
      </w:r>
      <w:r w:rsidRPr="00BB1B43">
        <w:rPr>
          <w:lang w:eastAsia="en-GB"/>
        </w:rPr>
        <w:t xml:space="preserve">eastern region as in other parts of Nigeria was found to be endemic for HBV infection. The result of this study is in conformity with an earlier finding that sub-Saharan Africa has HBV carrier rate ranging from 9.00% to 12.00% </w:t>
      </w:r>
      <w:r w:rsidRPr="00BB1B43">
        <w:t>[26].</w:t>
      </w:r>
      <w:r w:rsidRPr="00BB1B43">
        <w:rPr>
          <w:lang w:eastAsia="en-GB"/>
        </w:rPr>
        <w:t>The sero-prevalence rate of 10.76% for HBV infection in this study is higher than the 2.90</w:t>
      </w:r>
      <w:r>
        <w:rPr>
          <w:lang w:eastAsia="en-GB"/>
        </w:rPr>
        <w:t>% found in pregnant women in Port Harcourt, S</w:t>
      </w:r>
      <w:r w:rsidRPr="00BB1B43">
        <w:rPr>
          <w:lang w:eastAsia="en-GB"/>
        </w:rPr>
        <w:t>outh –</w:t>
      </w:r>
      <w:r>
        <w:rPr>
          <w:lang w:eastAsia="en-GB"/>
        </w:rPr>
        <w:t xml:space="preserve"> S</w:t>
      </w:r>
      <w:r w:rsidRPr="00BB1B43">
        <w:rPr>
          <w:lang w:eastAsia="en-GB"/>
        </w:rPr>
        <w:t xml:space="preserve">outh Nigeria by </w:t>
      </w:r>
      <w:r w:rsidRPr="00BB1B43">
        <w:t>[27]</w:t>
      </w:r>
      <w:r w:rsidRPr="00BB1B43">
        <w:rPr>
          <w:lang w:eastAsia="en-GB"/>
        </w:rPr>
        <w:t xml:space="preserve"> 9.60</w:t>
      </w:r>
      <w:r>
        <w:rPr>
          <w:lang w:eastAsia="en-GB"/>
        </w:rPr>
        <w:t>% in An</w:t>
      </w:r>
      <w:r w:rsidRPr="00BB1B43">
        <w:rPr>
          <w:lang w:eastAsia="en-GB"/>
        </w:rPr>
        <w:t xml:space="preserve">ambra </w:t>
      </w:r>
      <w:r w:rsidRPr="00BB1B43">
        <w:t>[28]</w:t>
      </w:r>
      <w:r w:rsidRPr="00BB1B43">
        <w:rPr>
          <w:lang w:eastAsia="en-GB"/>
        </w:rPr>
        <w:t xml:space="preserve">, 8.90% in Ibadan </w:t>
      </w:r>
      <w:r w:rsidRPr="00BB1B43">
        <w:t>[29]</w:t>
      </w:r>
      <w:r w:rsidRPr="00BB1B43">
        <w:rPr>
          <w:lang w:eastAsia="en-GB"/>
        </w:rPr>
        <w:t xml:space="preserve">, 8.30% in Zaria </w:t>
      </w:r>
      <w:r w:rsidRPr="00BB1B43">
        <w:t>[30]</w:t>
      </w:r>
      <w:r w:rsidRPr="00BB1B43">
        <w:rPr>
          <w:lang w:eastAsia="en-GB"/>
        </w:rPr>
        <w:t xml:space="preserve">, 8.20% in Ilorin </w:t>
      </w:r>
      <w:r w:rsidRPr="00BB1B43">
        <w:t>[9]</w:t>
      </w:r>
      <w:r w:rsidRPr="00BB1B43">
        <w:rPr>
          <w:lang w:eastAsia="en-GB"/>
        </w:rPr>
        <w:t xml:space="preserve">and 6.08% in Lagos </w:t>
      </w:r>
      <w:r w:rsidRPr="00BB1B43">
        <w:t>[31]</w:t>
      </w:r>
      <w:r w:rsidRPr="00BB1B43">
        <w:rPr>
          <w:lang w:eastAsia="en-GB"/>
        </w:rPr>
        <w:t>. It is also higher than the 6.2</w:t>
      </w:r>
      <w:r>
        <w:rPr>
          <w:lang w:eastAsia="en-GB"/>
        </w:rPr>
        <w:t>% found women in Sierra Leone</w:t>
      </w:r>
      <w:r w:rsidRPr="00BB1B43">
        <w:rPr>
          <w:lang w:eastAsia="en-GB"/>
        </w:rPr>
        <w:t xml:space="preserve"> </w:t>
      </w:r>
      <w:r w:rsidRPr="00BB1B43">
        <w:t>[32]</w:t>
      </w:r>
      <w:r w:rsidRPr="00BB1B43">
        <w:rPr>
          <w:lang w:eastAsia="en-GB"/>
        </w:rPr>
        <w:t xml:space="preserve">, the 2.50% found by </w:t>
      </w:r>
      <w:r w:rsidRPr="00BB1B43">
        <w:t xml:space="preserve">[33] </w:t>
      </w:r>
      <w:r w:rsidRPr="00BB1B43">
        <w:rPr>
          <w:lang w:eastAsia="en-GB"/>
        </w:rPr>
        <w:t xml:space="preserve">in pregnant Iranian women and the 1.53% found by </w:t>
      </w:r>
      <w:r w:rsidRPr="00BB1B43">
        <w:t xml:space="preserve">[34] </w:t>
      </w:r>
      <w:r w:rsidRPr="00BB1B43">
        <w:rPr>
          <w:lang w:eastAsia="en-GB"/>
        </w:rPr>
        <w:t xml:space="preserve">amongst pregnant women attending government maternity hospitals in Kabul. </w:t>
      </w:r>
    </w:p>
    <w:p w:rsidR="009421F1" w:rsidRPr="00BB1B43" w:rsidRDefault="009421F1" w:rsidP="009421F1">
      <w:pPr>
        <w:spacing w:before="100" w:beforeAutospacing="1"/>
        <w:jc w:val="both"/>
        <w:rPr>
          <w:lang w:eastAsia="en-GB"/>
        </w:rPr>
      </w:pPr>
      <w:r w:rsidRPr="00BB1B43">
        <w:rPr>
          <w:lang w:eastAsia="en-GB"/>
        </w:rPr>
        <w:lastRenderedPageBreak/>
        <w:t xml:space="preserve">The figure 10.76% from this study was however found to be lower than the 11.00% found by </w:t>
      </w:r>
      <w:r w:rsidRPr="00BB1B43">
        <w:t>[35]</w:t>
      </w:r>
      <w:r w:rsidRPr="00BB1B43">
        <w:rPr>
          <w:lang w:eastAsia="en-GB"/>
        </w:rPr>
        <w:t xml:space="preserve"> among the pregnant women in Makurdi, North – Central Nigeria. It was found to be lower than 11.60% found by </w:t>
      </w:r>
      <w:r w:rsidRPr="00BB1B43">
        <w:t>[36]</w:t>
      </w:r>
      <w:r w:rsidRPr="00BB1B43">
        <w:rPr>
          <w:lang w:eastAsia="en-GB"/>
        </w:rPr>
        <w:t xml:space="preserve">, 12.30% in Minna </w:t>
      </w:r>
      <w:r w:rsidRPr="00BB1B43">
        <w:t>[37]</w:t>
      </w:r>
      <w:r w:rsidRPr="00BB1B43">
        <w:rPr>
          <w:lang w:eastAsia="en-GB"/>
        </w:rPr>
        <w:t xml:space="preserve">, 12.50% in Enugu </w:t>
      </w:r>
      <w:r w:rsidRPr="00BB1B43">
        <w:t xml:space="preserve">[38] </w:t>
      </w:r>
      <w:r w:rsidRPr="00BB1B43">
        <w:rPr>
          <w:lang w:eastAsia="en-GB"/>
        </w:rPr>
        <w:t xml:space="preserve">and the 12.60% found by </w:t>
      </w:r>
      <w:r w:rsidRPr="00BB1B43">
        <w:t xml:space="preserve">[39] </w:t>
      </w:r>
      <w:r w:rsidRPr="00BB1B43">
        <w:rPr>
          <w:lang w:eastAsia="en-GB"/>
        </w:rPr>
        <w:t xml:space="preserve">among pregnant women in </w:t>
      </w:r>
      <w:r>
        <w:rPr>
          <w:lang w:eastAsia="en-GB"/>
        </w:rPr>
        <w:t>Maiduguri, North eastern part of the country</w:t>
      </w:r>
      <w:r w:rsidRPr="00BB1B43">
        <w:rPr>
          <w:lang w:eastAsia="en-GB"/>
        </w:rPr>
        <w:t>, and a rural co</w:t>
      </w:r>
      <w:r>
        <w:rPr>
          <w:lang w:eastAsia="en-GB"/>
        </w:rPr>
        <w:t>mmunity in North Central region</w:t>
      </w:r>
      <w:r w:rsidRPr="00BB1B43">
        <w:rPr>
          <w:lang w:eastAsia="en-GB"/>
        </w:rPr>
        <w:t xml:space="preserve"> respectively. It is also lower than the 13.80% found by </w:t>
      </w:r>
      <w:r w:rsidRPr="00BB1B43">
        <w:t xml:space="preserve">[40] </w:t>
      </w:r>
      <w:r w:rsidRPr="00BB1B43">
        <w:rPr>
          <w:lang w:eastAsia="en-GB"/>
        </w:rPr>
        <w:t xml:space="preserve">in pregnant Senegalese women in Dakar and equally lower than the 63.30% found by </w:t>
      </w:r>
      <w:r w:rsidRPr="00BB1B43">
        <w:t xml:space="preserve">[41] </w:t>
      </w:r>
      <w:r>
        <w:rPr>
          <w:lang w:eastAsia="en-GB"/>
        </w:rPr>
        <w:t>in Jos, N</w:t>
      </w:r>
      <w:r w:rsidRPr="00BB1B43">
        <w:rPr>
          <w:lang w:eastAsia="en-GB"/>
        </w:rPr>
        <w:t>orth –</w:t>
      </w:r>
      <w:r>
        <w:rPr>
          <w:lang w:eastAsia="en-GB"/>
        </w:rPr>
        <w:t xml:space="preserve"> C</w:t>
      </w:r>
      <w:r w:rsidRPr="00BB1B43">
        <w:rPr>
          <w:lang w:eastAsia="en-GB"/>
        </w:rPr>
        <w:t>entral Nigeria. The variation in the sero-</w:t>
      </w:r>
      <w:r>
        <w:rPr>
          <w:lang w:eastAsia="en-GB"/>
        </w:rPr>
        <w:t>prevalence</w:t>
      </w:r>
      <w:r w:rsidRPr="00BB1B43">
        <w:rPr>
          <w:lang w:eastAsia="en-GB"/>
        </w:rPr>
        <w:t xml:space="preserve"> may be due to geographical variation and differences in cultural practices. </w:t>
      </w:r>
    </w:p>
    <w:p w:rsidR="009421F1" w:rsidRPr="00BB1B43" w:rsidRDefault="009421F1" w:rsidP="009421F1">
      <w:pPr>
        <w:spacing w:before="100" w:beforeAutospacing="1"/>
        <w:jc w:val="both"/>
        <w:rPr>
          <w:lang w:eastAsia="en-GB"/>
        </w:rPr>
      </w:pPr>
      <w:r w:rsidRPr="00BB1B43">
        <w:rPr>
          <w:lang w:eastAsia="en-GB"/>
        </w:rPr>
        <w:t xml:space="preserve">Most of the </w:t>
      </w:r>
      <w:r>
        <w:rPr>
          <w:lang w:eastAsia="en-GB"/>
        </w:rPr>
        <w:t xml:space="preserve">previous </w:t>
      </w:r>
      <w:r w:rsidRPr="00BB1B43">
        <w:rPr>
          <w:lang w:eastAsia="en-GB"/>
        </w:rPr>
        <w:t>s</w:t>
      </w:r>
      <w:r>
        <w:rPr>
          <w:lang w:eastAsia="en-GB"/>
        </w:rPr>
        <w:t>tudies</w:t>
      </w:r>
      <w:r w:rsidRPr="00BB1B43">
        <w:rPr>
          <w:lang w:eastAsia="en-GB"/>
        </w:rPr>
        <w:t xml:space="preserve"> did not distinguish between recent and past infection</w:t>
      </w:r>
      <w:r>
        <w:rPr>
          <w:lang w:eastAsia="en-GB"/>
        </w:rPr>
        <w:t>s</w:t>
      </w:r>
      <w:r w:rsidRPr="00BB1B43">
        <w:rPr>
          <w:lang w:eastAsia="en-GB"/>
        </w:rPr>
        <w:t xml:space="preserve">; </w:t>
      </w:r>
      <w:r w:rsidRPr="00046719">
        <w:rPr>
          <w:lang w:eastAsia="en-GB"/>
        </w:rPr>
        <w:t>screening for HBsAg alone does not fully reflect epidemiology of the disease as it could not indicate a carrier state</w:t>
      </w:r>
      <w:r w:rsidRPr="00BB1B43">
        <w:rPr>
          <w:lang w:eastAsia="en-GB"/>
        </w:rPr>
        <w:t>, viral replication, or chronic</w:t>
      </w:r>
      <w:r>
        <w:rPr>
          <w:lang w:eastAsia="en-GB"/>
        </w:rPr>
        <w:t xml:space="preserve"> stage;</w:t>
      </w:r>
      <w:r w:rsidRPr="00BB1B43">
        <w:rPr>
          <w:lang w:eastAsia="en-GB"/>
        </w:rPr>
        <w:t xml:space="preserve"> this study differentiated carriers of HBsAg from those with active infection. The assay for serological markers of HBV infection such as anti-HBs, HBe, anti-HBe and anti-HBc was carried out. These antigens and their homologous antibodies are considered to be specific </w:t>
      </w:r>
      <w:r>
        <w:rPr>
          <w:lang w:eastAsia="en-GB"/>
        </w:rPr>
        <w:t>markers of the HBV</w:t>
      </w:r>
      <w:r w:rsidRPr="00BB1B43">
        <w:rPr>
          <w:lang w:eastAsia="en-GB"/>
        </w:rPr>
        <w:t xml:space="preserve"> infection</w:t>
      </w:r>
      <w:r>
        <w:rPr>
          <w:lang w:eastAsia="en-GB"/>
        </w:rPr>
        <w:t xml:space="preserve"> </w:t>
      </w:r>
      <w:r w:rsidRPr="00BB1B43">
        <w:t>[42]</w:t>
      </w:r>
      <w:r>
        <w:rPr>
          <w:lang w:eastAsia="en-GB"/>
        </w:rPr>
        <w:t xml:space="preserve">. </w:t>
      </w:r>
      <w:r w:rsidRPr="00BB1B43">
        <w:rPr>
          <w:lang w:eastAsia="en-GB"/>
        </w:rPr>
        <w:t>The result obtained shows that all the HBV sero-positive samples were also confirmed by the appearance of double band in HBsAg hole of t</w:t>
      </w:r>
      <w:r>
        <w:rPr>
          <w:lang w:eastAsia="en-GB"/>
        </w:rPr>
        <w:t>he HBV combo test kit. HBsAg</w:t>
      </w:r>
      <w:r w:rsidRPr="00BB1B43">
        <w:rPr>
          <w:lang w:eastAsia="en-GB"/>
        </w:rPr>
        <w:t xml:space="preserve"> was the first to appear after exposure to HBV. T</w:t>
      </w:r>
      <w:r>
        <w:rPr>
          <w:lang w:eastAsia="en-GB"/>
        </w:rPr>
        <w:t>h</w:t>
      </w:r>
      <w:r w:rsidRPr="00BB1B43">
        <w:rPr>
          <w:lang w:eastAsia="en-GB"/>
        </w:rPr>
        <w:t xml:space="preserve">ree samples (9.68%) were reactive to HBeAg which indicate that there was active viral replication or soluble antigen present in the circulation (Table 3.1). Young adult (30-35 years) have been reported to have high rates of HBeAg – positivity </w:t>
      </w:r>
      <w:r w:rsidRPr="00BB1B43">
        <w:t>(28.57%)</w:t>
      </w:r>
      <w:r w:rsidRPr="00BB1B43">
        <w:rPr>
          <w:lang w:eastAsia="en-GB"/>
        </w:rPr>
        <w:t xml:space="preserve">, and the rate of positivity decreased with age and this is in line with the finding of </w:t>
      </w:r>
      <w:r w:rsidRPr="00BB1B43">
        <w:t>[43]</w:t>
      </w:r>
      <w:r w:rsidRPr="00BB1B43">
        <w:rPr>
          <w:lang w:eastAsia="en-GB"/>
        </w:rPr>
        <w:t xml:space="preserve"> which could be due to spontaneous sero – conversion to the antibody against HBeAg. Older carriers have been shown to be more likely than younger carriers to clear </w:t>
      </w:r>
      <w:r w:rsidRPr="00BB1B43">
        <w:t>[43]</w:t>
      </w:r>
    </w:p>
    <w:p w:rsidR="009421F1" w:rsidRPr="00BB1B43" w:rsidRDefault="009421F1" w:rsidP="009421F1">
      <w:pPr>
        <w:spacing w:before="100" w:beforeAutospacing="1"/>
        <w:jc w:val="both"/>
        <w:rPr>
          <w:lang w:eastAsia="en-GB"/>
        </w:rPr>
      </w:pPr>
      <w:r w:rsidRPr="00BB1B43">
        <w:rPr>
          <w:lang w:eastAsia="en-GB"/>
        </w:rPr>
        <w:t>Antibody to HBe appeared to be reactive</w:t>
      </w:r>
      <w:r>
        <w:rPr>
          <w:lang w:eastAsia="en-GB"/>
        </w:rPr>
        <w:t xml:space="preserve"> by</w:t>
      </w:r>
      <w:r w:rsidRPr="00BB1B43">
        <w:rPr>
          <w:lang w:eastAsia="en-GB"/>
        </w:rPr>
        <w:t xml:space="preserve"> (77.42%) (Table 3.1); 24 out of 31 subjects were reactive to anti HBe. Presence of anti HBe in serum of HBsAg carrier suggests lower titer</w:t>
      </w:r>
      <w:r>
        <w:rPr>
          <w:lang w:eastAsia="en-GB"/>
        </w:rPr>
        <w:t xml:space="preserve"> of HBV and also</w:t>
      </w:r>
      <w:r w:rsidRPr="00BB1B43">
        <w:rPr>
          <w:lang w:eastAsia="en-GB"/>
        </w:rPr>
        <w:t xml:space="preserve"> to antibody to HBc; (77.42) of the samples was</w:t>
      </w:r>
      <w:r>
        <w:rPr>
          <w:lang w:eastAsia="en-GB"/>
        </w:rPr>
        <w:t xml:space="preserve"> equally</w:t>
      </w:r>
      <w:r w:rsidRPr="00BB1B43">
        <w:rPr>
          <w:lang w:eastAsia="en-GB"/>
        </w:rPr>
        <w:t xml:space="preserve"> reactive. This indicates infections with HBV of some undefined time in the past, and also it is an indication that the infection was resolved. All the sero-positive HBsAg were non-reactive to antibody to HBsAg which signifies that none of the subject acquire the infection as a result of vaccination and none of the subject was fully protected as affirmed by </w:t>
      </w:r>
      <w:r w:rsidRPr="00BB1B43">
        <w:t>[42]</w:t>
      </w:r>
      <w:r w:rsidRPr="00BB1B43">
        <w:rPr>
          <w:lang w:eastAsia="en-GB"/>
        </w:rPr>
        <w:t>and</w:t>
      </w:r>
      <w:r>
        <w:rPr>
          <w:lang w:eastAsia="en-GB"/>
        </w:rPr>
        <w:t xml:space="preserve"> </w:t>
      </w:r>
      <w:r w:rsidRPr="00BB1B43">
        <w:t>[44]</w:t>
      </w:r>
      <w:r w:rsidRPr="00BB1B43">
        <w:rPr>
          <w:lang w:eastAsia="en-GB"/>
        </w:rPr>
        <w:t>.</w:t>
      </w:r>
    </w:p>
    <w:p w:rsidR="009421F1" w:rsidRPr="00BB1B43" w:rsidRDefault="009421F1" w:rsidP="009421F1">
      <w:pPr>
        <w:spacing w:before="240" w:beforeAutospacing="1"/>
        <w:jc w:val="both"/>
        <w:rPr>
          <w:lang w:eastAsia="en-GB"/>
        </w:rPr>
      </w:pPr>
      <w:r w:rsidRPr="00BB1B43">
        <w:rPr>
          <w:lang w:eastAsia="en-GB"/>
        </w:rPr>
        <w:t xml:space="preserve"> The association between the serological markers in HBV sero-positive subjects w</w:t>
      </w:r>
      <w:r>
        <w:rPr>
          <w:lang w:eastAsia="en-GB"/>
        </w:rPr>
        <w:t>as measured statistically and</w:t>
      </w:r>
      <w:r w:rsidRPr="00BB1B43">
        <w:rPr>
          <w:lang w:eastAsia="en-GB"/>
        </w:rPr>
        <w:t xml:space="preserve"> </w:t>
      </w:r>
      <w:r>
        <w:rPr>
          <w:lang w:eastAsia="en-GB"/>
        </w:rPr>
        <w:t xml:space="preserve">found </w:t>
      </w:r>
      <w:r w:rsidRPr="00BB1B43">
        <w:rPr>
          <w:lang w:eastAsia="en-GB"/>
        </w:rPr>
        <w:t xml:space="preserve">significant (P &lt; 0.05).  A high prevalence of HBV infection was found </w:t>
      </w:r>
      <w:r>
        <w:rPr>
          <w:lang w:eastAsia="en-GB"/>
        </w:rPr>
        <w:t xml:space="preserve">with </w:t>
      </w:r>
      <w:r w:rsidRPr="00BB1B43">
        <w:rPr>
          <w:lang w:eastAsia="en-GB"/>
        </w:rPr>
        <w:t>20 - 24 years age group</w:t>
      </w:r>
      <w:r>
        <w:rPr>
          <w:lang w:eastAsia="en-GB"/>
        </w:rPr>
        <w:t xml:space="preserve"> </w:t>
      </w:r>
      <w:r w:rsidRPr="00BB1B43">
        <w:t>(5.22%)</w:t>
      </w:r>
      <w:r w:rsidRPr="00BB1B43">
        <w:rPr>
          <w:lang w:eastAsia="en-GB"/>
        </w:rPr>
        <w:t xml:space="preserve"> followed by the 25 – 29 </w:t>
      </w:r>
      <w:r w:rsidRPr="00BB1B43">
        <w:t xml:space="preserve">(2.44%) </w:t>
      </w:r>
      <w:r w:rsidRPr="00BB1B43">
        <w:rPr>
          <w:lang w:eastAsia="en-GB"/>
        </w:rPr>
        <w:t>then 30 – 34 years age group</w:t>
      </w:r>
      <w:r>
        <w:rPr>
          <w:lang w:eastAsia="en-GB"/>
        </w:rPr>
        <w:t xml:space="preserve"> </w:t>
      </w:r>
      <w:r w:rsidRPr="00BB1B43">
        <w:t>(1.74%)</w:t>
      </w:r>
      <w:r>
        <w:t xml:space="preserve"> </w:t>
      </w:r>
      <w:r w:rsidRPr="00BB1B43">
        <w:rPr>
          <w:lang w:eastAsia="en-GB"/>
        </w:rPr>
        <w:t>(T</w:t>
      </w:r>
      <w:r>
        <w:rPr>
          <w:lang w:eastAsia="en-GB"/>
        </w:rPr>
        <w:t xml:space="preserve">able </w:t>
      </w:r>
      <w:r w:rsidRPr="00BB1B43">
        <w:rPr>
          <w:lang w:eastAsia="en-GB"/>
        </w:rPr>
        <w:t>3.1), this prevalence</w:t>
      </w:r>
      <w:r>
        <w:rPr>
          <w:lang w:eastAsia="en-GB"/>
        </w:rPr>
        <w:t xml:space="preserve"> is</w:t>
      </w:r>
      <w:r w:rsidRPr="00BB1B43">
        <w:rPr>
          <w:lang w:eastAsia="en-GB"/>
        </w:rPr>
        <w:t xml:space="preserve"> in line with the finding of </w:t>
      </w:r>
      <w:r w:rsidRPr="00BB1B43">
        <w:t>[9]</w:t>
      </w:r>
      <w:r w:rsidRPr="00BB1B43">
        <w:rPr>
          <w:lang w:eastAsia="en-GB"/>
        </w:rPr>
        <w:t xml:space="preserve">. This may be because age range of 20 – 34 is the most sexually active and more fertile. </w:t>
      </w:r>
    </w:p>
    <w:p w:rsidR="009421F1" w:rsidRPr="00BB1B43" w:rsidRDefault="009421F1" w:rsidP="009421F1">
      <w:pPr>
        <w:spacing w:before="100" w:beforeAutospacing="1"/>
        <w:jc w:val="both"/>
        <w:rPr>
          <w:lang w:eastAsia="en-GB"/>
        </w:rPr>
      </w:pPr>
      <w:r w:rsidRPr="00BB1B43">
        <w:rPr>
          <w:lang w:eastAsia="en-GB"/>
        </w:rPr>
        <w:t>The sero-prevalence rate of 17.36% was reported for rubella in this study (Table 3.1); the subjects studied had detectable IgM level which is a marker of recent infection. Detection of IgM was well established as a mea</w:t>
      </w:r>
      <w:r>
        <w:rPr>
          <w:lang w:eastAsia="en-GB"/>
        </w:rPr>
        <w:t xml:space="preserve">ns of diagnosing recent </w:t>
      </w:r>
      <w:r w:rsidRPr="00BB1B43">
        <w:rPr>
          <w:lang w:eastAsia="en-GB"/>
        </w:rPr>
        <w:t xml:space="preserve">CRS and was recommended by the WHO as the primary test for the laboratory confirmation of rubella which is in concordance with the study of </w:t>
      </w:r>
      <w:r w:rsidRPr="00BB1B43">
        <w:t xml:space="preserve">[45] </w:t>
      </w:r>
      <w:r w:rsidRPr="00BB1B43">
        <w:rPr>
          <w:lang w:eastAsia="en-GB"/>
        </w:rPr>
        <w:t xml:space="preserve">with 17.50% prevalence rate and that of </w:t>
      </w:r>
      <w:r w:rsidRPr="00BB1B43">
        <w:t xml:space="preserve">[46] </w:t>
      </w:r>
      <w:r w:rsidRPr="00BB1B43">
        <w:rPr>
          <w:lang w:eastAsia="en-GB"/>
        </w:rPr>
        <w:t xml:space="preserve">with 17.70% prevalence rate. However, the figure 17.36% is in line with the WHO Worldwide prevalence rate of rubella susceptibility (7.5 – 17.40%) </w:t>
      </w:r>
      <w:r w:rsidRPr="00BB1B43">
        <w:t>[47].</w:t>
      </w:r>
      <w:r w:rsidRPr="00BB1B43">
        <w:rPr>
          <w:lang w:eastAsia="en-GB"/>
        </w:rPr>
        <w:t xml:space="preserve">The result obtained was found to be higher than 4.20% found in pregnant women in Makurdi Benue State </w:t>
      </w:r>
      <w:r w:rsidRPr="00BB1B43">
        <w:t>[18]</w:t>
      </w:r>
      <w:r w:rsidRPr="00BB1B43">
        <w:rPr>
          <w:lang w:eastAsia="en-GB"/>
        </w:rPr>
        <w:t xml:space="preserve"> and 10.00% also among pregnant women attending antenatal clinic Benin Teaching Hospitals </w:t>
      </w:r>
      <w:r w:rsidRPr="00BB1B43">
        <w:t>[48].</w:t>
      </w:r>
      <w:r>
        <w:t xml:space="preserve"> </w:t>
      </w:r>
      <w:r w:rsidRPr="00BB1B43">
        <w:rPr>
          <w:lang w:eastAsia="en-GB"/>
        </w:rPr>
        <w:t xml:space="preserve">Moreover, </w:t>
      </w:r>
      <w:r w:rsidRPr="00BB1B43">
        <w:t>[49]</w:t>
      </w:r>
      <w:r w:rsidRPr="00BB1B43">
        <w:rPr>
          <w:lang w:eastAsia="en-GB"/>
        </w:rPr>
        <w:t xml:space="preserve"> and </w:t>
      </w:r>
      <w:r w:rsidRPr="00BB1B43">
        <w:t>[50]</w:t>
      </w:r>
      <w:r w:rsidRPr="00BB1B43">
        <w:rPr>
          <w:lang w:eastAsia="en-GB"/>
        </w:rPr>
        <w:t xml:space="preserve">, reported 6.50% and 10.38% respectively. Whereas </w:t>
      </w:r>
      <w:r w:rsidRPr="00BB1B43">
        <w:t>[51]</w:t>
      </w:r>
      <w:r>
        <w:t xml:space="preserve"> has</w:t>
      </w:r>
      <w:r>
        <w:rPr>
          <w:lang w:eastAsia="en-GB"/>
        </w:rPr>
        <w:t xml:space="preserve"> </w:t>
      </w:r>
      <w:r w:rsidRPr="00BB1B43">
        <w:rPr>
          <w:lang w:eastAsia="en-GB"/>
        </w:rPr>
        <w:t>re</w:t>
      </w:r>
      <w:r>
        <w:rPr>
          <w:lang w:eastAsia="en-GB"/>
        </w:rPr>
        <w:t>ported rubella IgM positivity to be</w:t>
      </w:r>
      <w:r w:rsidRPr="00BB1B43">
        <w:rPr>
          <w:lang w:eastAsia="en-GB"/>
        </w:rPr>
        <w:t xml:space="preserve"> 26.80%. The difference in the prevalen</w:t>
      </w:r>
      <w:r>
        <w:rPr>
          <w:lang w:eastAsia="en-GB"/>
        </w:rPr>
        <w:t>ce rates may be due to the seasons</w:t>
      </w:r>
      <w:r w:rsidRPr="00BB1B43">
        <w:rPr>
          <w:lang w:eastAsia="en-GB"/>
        </w:rPr>
        <w:t xml:space="preserve"> in which the samples were collected, geographical location, cultural behavior, ethni</w:t>
      </w:r>
      <w:r>
        <w:rPr>
          <w:lang w:eastAsia="en-GB"/>
        </w:rPr>
        <w:t>city, sexual behavior and socio-</w:t>
      </w:r>
      <w:r w:rsidRPr="00BB1B43">
        <w:rPr>
          <w:lang w:eastAsia="en-GB"/>
        </w:rPr>
        <w:t>economic status. The wide variation may also be due to the fact that the study area was visited by different group of people from various destinations of multiple ethnicities.</w:t>
      </w:r>
    </w:p>
    <w:p w:rsidR="009421F1" w:rsidRPr="00BB1B43" w:rsidRDefault="009421F1" w:rsidP="009421F1">
      <w:pPr>
        <w:spacing w:before="100" w:beforeAutospacing="1"/>
        <w:jc w:val="both"/>
        <w:rPr>
          <w:lang w:eastAsia="en-GB"/>
        </w:rPr>
      </w:pPr>
      <w:r w:rsidRPr="00BB1B43">
        <w:rPr>
          <w:lang w:eastAsia="en-GB"/>
        </w:rPr>
        <w:t>The study of liver enzymes between various groups with chronic HBV infection showed that the increased liver enzymes level were significantly higher in HBsAg (+)</w:t>
      </w:r>
      <w:r w:rsidRPr="00BB1B43">
        <w:t xml:space="preserve"> (70.97%)</w:t>
      </w:r>
      <w:r w:rsidRPr="00BB1B43">
        <w:rPr>
          <w:lang w:eastAsia="en-GB"/>
        </w:rPr>
        <w:t xml:space="preserve"> when compared with normal values (Table 3.2). Moreover, subject positive for both HBsAg and HBeAg were more likely t</w:t>
      </w:r>
      <w:r>
        <w:rPr>
          <w:lang w:eastAsia="en-GB"/>
        </w:rPr>
        <w:t>o have abnormal values of liver</w:t>
      </w:r>
      <w:r w:rsidRPr="00BB1B43">
        <w:rPr>
          <w:lang w:eastAsia="en-GB"/>
        </w:rPr>
        <w:t xml:space="preserve"> enzymes compared with HBsAg carriers negative for H</w:t>
      </w:r>
      <w:r>
        <w:rPr>
          <w:lang w:eastAsia="en-GB"/>
        </w:rPr>
        <w:t>BeAg. Thus, measurement of amino</w:t>
      </w:r>
      <w:r w:rsidRPr="00BB1B43">
        <w:rPr>
          <w:lang w:eastAsia="en-GB"/>
        </w:rPr>
        <w:t>transferase levels remains the most common and conven</w:t>
      </w:r>
      <w:r>
        <w:rPr>
          <w:lang w:eastAsia="en-GB"/>
        </w:rPr>
        <w:t>ien</w:t>
      </w:r>
      <w:r w:rsidRPr="00BB1B43">
        <w:rPr>
          <w:lang w:eastAsia="en-GB"/>
        </w:rPr>
        <w:t>t way to identify liver inflammation in patients with chronic HBV infection. But the relationship may be better established by serial observation and analysis rather than by simple examinati</w:t>
      </w:r>
      <w:r>
        <w:rPr>
          <w:lang w:eastAsia="en-GB"/>
        </w:rPr>
        <w:t>on of amino</w:t>
      </w:r>
      <w:r w:rsidRPr="00BB1B43">
        <w:rPr>
          <w:lang w:eastAsia="en-GB"/>
        </w:rPr>
        <w:t xml:space="preserve">transferase levels as shown by </w:t>
      </w:r>
      <w:r w:rsidRPr="00BB1B43">
        <w:t>[52]</w:t>
      </w:r>
      <w:r w:rsidRPr="00BB1B43">
        <w:rPr>
          <w:b/>
          <w:lang w:eastAsia="en-GB"/>
        </w:rPr>
        <w:t xml:space="preserve">. </w:t>
      </w:r>
      <w:r w:rsidRPr="00BB1B43">
        <w:rPr>
          <w:lang w:eastAsia="en-GB"/>
        </w:rPr>
        <w:t xml:space="preserve">Liver enzymes </w:t>
      </w:r>
      <w:r w:rsidRPr="00BB1B43">
        <w:rPr>
          <w:lang w:eastAsia="en-GB"/>
        </w:rPr>
        <w:lastRenderedPageBreak/>
        <w:t>were found to have positive correlation with HBV sero</w:t>
      </w:r>
      <w:r>
        <w:rPr>
          <w:lang w:eastAsia="en-GB"/>
        </w:rPr>
        <w:t>-</w:t>
      </w:r>
      <w:r w:rsidRPr="00BB1B43">
        <w:rPr>
          <w:lang w:eastAsia="en-GB"/>
        </w:rPr>
        <w:t xml:space="preserve">positivity which is in conformity with the finding of </w:t>
      </w:r>
      <w:r w:rsidRPr="00BB1B43">
        <w:t>[56]</w:t>
      </w:r>
      <w:r w:rsidRPr="00BB1B43">
        <w:rPr>
          <w:lang w:eastAsia="en-GB"/>
        </w:rPr>
        <w:t xml:space="preserve"> and </w:t>
      </w:r>
      <w:r w:rsidRPr="00BB1B43">
        <w:t>[53]</w:t>
      </w:r>
      <w:r w:rsidRPr="00BB1B43">
        <w:rPr>
          <w:lang w:eastAsia="en-GB"/>
        </w:rPr>
        <w:t>.</w:t>
      </w:r>
    </w:p>
    <w:p w:rsidR="009421F1" w:rsidRPr="00BB1B43" w:rsidRDefault="009421F1" w:rsidP="009421F1">
      <w:pPr>
        <w:spacing w:before="100" w:beforeAutospacing="1"/>
        <w:jc w:val="both"/>
        <w:rPr>
          <w:lang w:eastAsia="en-GB"/>
        </w:rPr>
      </w:pPr>
      <w:r>
        <w:rPr>
          <w:lang w:eastAsia="en-GB"/>
        </w:rPr>
        <w:t>All the women that</w:t>
      </w:r>
      <w:r w:rsidRPr="00BB1B43">
        <w:rPr>
          <w:lang w:eastAsia="en-GB"/>
        </w:rPr>
        <w:t xml:space="preserve"> participated in this study were between the ages of 15 – 47 years. Although the highest prevalence was observed in 20 – 24 years age (T</w:t>
      </w:r>
      <w:r>
        <w:rPr>
          <w:lang w:eastAsia="en-GB"/>
        </w:rPr>
        <w:t>able 3.3), statistical analysis indicates</w:t>
      </w:r>
      <w:r w:rsidRPr="00BB1B43">
        <w:rPr>
          <w:lang w:eastAsia="en-GB"/>
        </w:rPr>
        <w:t xml:space="preserve"> that there is no significant difference</w:t>
      </w:r>
      <w:r>
        <w:rPr>
          <w:lang w:eastAsia="en-GB"/>
        </w:rPr>
        <w:t xml:space="preserve"> between them</w:t>
      </w:r>
      <w:r w:rsidRPr="00BB1B43">
        <w:rPr>
          <w:lang w:eastAsia="en-GB"/>
        </w:rPr>
        <w:t xml:space="preserve"> (rubella has no relationship with age groups</w:t>
      </w:r>
      <w:r>
        <w:rPr>
          <w:lang w:eastAsia="en-GB"/>
        </w:rPr>
        <w:t>) as P &gt; 0.05</w:t>
      </w:r>
      <w:r w:rsidRPr="00BB1B43">
        <w:rPr>
          <w:lang w:eastAsia="en-GB"/>
        </w:rPr>
        <w:t xml:space="preserve">. This agree with the finding of serologic survey rubella IgM in pregnant in Makurdi which shows that (P &gt; 0.05) and considered statistically not significant </w:t>
      </w:r>
      <w:r w:rsidRPr="00BB1B43">
        <w:t>[18]</w:t>
      </w:r>
    </w:p>
    <w:p w:rsidR="009421F1" w:rsidRPr="00BB1B43" w:rsidRDefault="009421F1" w:rsidP="009421F1">
      <w:pPr>
        <w:spacing w:before="100" w:beforeAutospacing="1"/>
        <w:jc w:val="both"/>
        <w:rPr>
          <w:lang w:eastAsia="en-GB"/>
        </w:rPr>
      </w:pPr>
      <w:r w:rsidRPr="00BB1B43">
        <w:rPr>
          <w:lang w:eastAsia="en-GB"/>
        </w:rPr>
        <w:t>In comparative study conducted at the tip of the research. It was observed that HBV chronic carriers are more susceptible to rubella virus infection, (25.81%) of hepatitis B chronic subjects were reactive to rubella IgM antibody as against (12.91 %) (Table 3.4). This may be due to</w:t>
      </w:r>
      <w:r>
        <w:rPr>
          <w:lang w:eastAsia="en-GB"/>
        </w:rPr>
        <w:t xml:space="preserve"> the fact that in chronic HBV</w:t>
      </w:r>
      <w:r w:rsidRPr="00BB1B43">
        <w:rPr>
          <w:lang w:eastAsia="en-GB"/>
        </w:rPr>
        <w:t xml:space="preserve"> infection, HBsAg and HBeAg or HBsAg and anti HBe persist at elevated levels for at least six months or up to life time in some individuals </w:t>
      </w:r>
      <w:r w:rsidRPr="00BB1B43">
        <w:t xml:space="preserve">[42]. </w:t>
      </w:r>
      <w:r w:rsidRPr="00BB1B43">
        <w:rPr>
          <w:lang w:eastAsia="en-GB"/>
        </w:rPr>
        <w:t>Chronic carriers of HBsAg may or</w:t>
      </w:r>
      <w:r>
        <w:rPr>
          <w:lang w:eastAsia="en-GB"/>
        </w:rPr>
        <w:t xml:space="preserve"> </w:t>
      </w:r>
      <w:r w:rsidRPr="00BB1B43">
        <w:rPr>
          <w:lang w:eastAsia="en-GB"/>
        </w:rPr>
        <w:t>may</w:t>
      </w:r>
      <w:r>
        <w:rPr>
          <w:lang w:eastAsia="en-GB"/>
        </w:rPr>
        <w:t xml:space="preserve"> not have demonstr</w:t>
      </w:r>
      <w:r w:rsidRPr="00BB1B43">
        <w:rPr>
          <w:lang w:eastAsia="en-GB"/>
        </w:rPr>
        <w:t xml:space="preserve">able evidence of liver disease. Persistent (unresolved) viral hepatitis, a mild benign disease that may follow acute hepatitis B in 8 – 10% of adult patients, is characterized by sporadically abnormal aminotransferase values and hepatomegaly. Fulminant HBV disease is associated with super infection with some other agents </w:t>
      </w:r>
      <w:r w:rsidRPr="00BB1B43">
        <w:t>[44]</w:t>
      </w:r>
      <w:r>
        <w:t>.</w:t>
      </w:r>
      <w:r w:rsidRPr="00BB1B43">
        <w:rPr>
          <w:lang w:eastAsia="en-GB"/>
        </w:rPr>
        <w:t xml:space="preserve">The association between chronic HBV and rubella susceptibility was measured and found to be statistically significant (P=0.03). This shows that there is strong association between chronic HBV and rubella susceptibility. Although a major section of pregnant women in Nigeria are immune, the finding of the study shows that cases of rubella infection still occur in Nigeria among pregnant women which is in conformity with the finding of </w:t>
      </w:r>
      <w:r w:rsidRPr="00BB1B43">
        <w:t xml:space="preserve">[54]. </w:t>
      </w:r>
      <w:r w:rsidRPr="00BB1B43">
        <w:rPr>
          <w:lang w:eastAsia="en-GB"/>
        </w:rPr>
        <w:t xml:space="preserve">This dispels the notion among many hospital workers who think that rubella is no longer an issue. Nigeria has in its hand opportunity to eliminate this virus since the burden is low and the actual susceptible population is small and elimination of rubella and CRS is National Public Health Goal </w:t>
      </w:r>
      <w:r w:rsidRPr="00BB1B43">
        <w:t>[21].</w:t>
      </w:r>
    </w:p>
    <w:p w:rsidR="009421F1" w:rsidRPr="00BB1B43" w:rsidRDefault="009421F1" w:rsidP="009421F1">
      <w:pPr>
        <w:spacing w:before="100" w:beforeAutospacing="1"/>
        <w:jc w:val="both"/>
        <w:rPr>
          <w:b/>
          <w:lang w:eastAsia="en-GB"/>
        </w:rPr>
      </w:pPr>
      <w:r w:rsidRPr="00BB1B43">
        <w:rPr>
          <w:b/>
          <w:lang w:eastAsia="en-GB"/>
        </w:rPr>
        <w:t>5.0 Conclusion</w:t>
      </w:r>
    </w:p>
    <w:p w:rsidR="009421F1" w:rsidRPr="00BB1B43" w:rsidRDefault="009421F1" w:rsidP="009421F1">
      <w:pPr>
        <w:spacing w:before="100" w:beforeAutospacing="1"/>
        <w:jc w:val="both"/>
        <w:rPr>
          <w:lang w:eastAsia="en-GB"/>
        </w:rPr>
      </w:pPr>
      <w:r>
        <w:rPr>
          <w:lang w:eastAsia="en-GB"/>
        </w:rPr>
        <w:t>The finding of this study</w:t>
      </w:r>
      <w:r w:rsidRPr="00BB1B43">
        <w:rPr>
          <w:lang w:eastAsia="en-GB"/>
        </w:rPr>
        <w:t xml:space="preserve"> confirms that HBV is endemic among pregnant women a</w:t>
      </w:r>
      <w:r>
        <w:rPr>
          <w:lang w:eastAsia="en-GB"/>
        </w:rPr>
        <w:t>ttending antenatal</w:t>
      </w:r>
      <w:r w:rsidRPr="00BB1B43">
        <w:rPr>
          <w:lang w:eastAsia="en-GB"/>
        </w:rPr>
        <w:t xml:space="preserve"> clinic, Muhammad Abdullahi Wase Specialist Hospital, Kano. The study also demonstrates associations between chronic HBV infection and rubella susceptibi</w:t>
      </w:r>
      <w:r>
        <w:rPr>
          <w:lang w:eastAsia="en-GB"/>
        </w:rPr>
        <w:t>lity among the studied</w:t>
      </w:r>
      <w:r w:rsidRPr="00BB1B43">
        <w:rPr>
          <w:lang w:eastAsia="en-GB"/>
        </w:rPr>
        <w:t xml:space="preserve"> population. Moreover, most people of the region are not aware of the</w:t>
      </w:r>
      <w:r>
        <w:rPr>
          <w:lang w:eastAsia="en-GB"/>
        </w:rPr>
        <w:t xml:space="preserve"> aforesaid disease hence</w:t>
      </w:r>
      <w:r w:rsidRPr="00BB1B43">
        <w:rPr>
          <w:lang w:eastAsia="en-GB"/>
        </w:rPr>
        <w:t xml:space="preserve"> vertical transmission is very much possible to occur.</w:t>
      </w:r>
    </w:p>
    <w:p w:rsidR="009421F1" w:rsidRPr="00BB1B43" w:rsidRDefault="009421F1" w:rsidP="009421F1">
      <w:pPr>
        <w:ind w:left="360"/>
        <w:jc w:val="both"/>
        <w:rPr>
          <w:b/>
          <w:sz w:val="24"/>
          <w:szCs w:val="24"/>
        </w:rPr>
      </w:pPr>
    </w:p>
    <w:p w:rsidR="009421F1" w:rsidRPr="00BB1B43" w:rsidRDefault="009421F1" w:rsidP="009421F1">
      <w:pPr>
        <w:jc w:val="both"/>
        <w:rPr>
          <w:b/>
          <w:lang w:eastAsia="en-GB"/>
        </w:rPr>
      </w:pPr>
      <w:r w:rsidRPr="00BB1B43">
        <w:rPr>
          <w:b/>
        </w:rPr>
        <w:t>Acknowledgement</w:t>
      </w:r>
    </w:p>
    <w:p w:rsidR="009421F1" w:rsidRPr="00BB1B43" w:rsidRDefault="009421F1" w:rsidP="009421F1">
      <w:pPr>
        <w:jc w:val="both"/>
      </w:pPr>
    </w:p>
    <w:p w:rsidR="009421F1" w:rsidRPr="00BB1B43" w:rsidRDefault="009421F1" w:rsidP="009421F1">
      <w:pPr>
        <w:jc w:val="both"/>
      </w:pPr>
      <w:r w:rsidRPr="00BB1B43">
        <w:t xml:space="preserve">I am immensely indebted to my supervisor, Prof. M.D. Mukhtar for his invaluable advices, suggestions, insights and above all, his interest and close supervision throughout the duration of this work. </w:t>
      </w:r>
    </w:p>
    <w:p w:rsidR="009421F1" w:rsidRPr="00BB1B43" w:rsidRDefault="009421F1" w:rsidP="009421F1">
      <w:pPr>
        <w:jc w:val="both"/>
      </w:pPr>
      <w:r w:rsidRPr="00BB1B43">
        <w:t>My sincere gratitude and appreciation goes to my Co-Supervisor, Dr. D.W Taura who was always available and willing to solve my problems. The roles of my co-authors especially Surajo Adamu and Musa A. Muhammad remain unforgettable.</w:t>
      </w:r>
    </w:p>
    <w:p w:rsidR="009421F1" w:rsidRPr="00BB1B43" w:rsidRDefault="009421F1" w:rsidP="009421F1">
      <w:pPr>
        <w:jc w:val="both"/>
      </w:pPr>
      <w:r w:rsidRPr="00BB1B43">
        <w:t xml:space="preserve">The effort of Prof. </w:t>
      </w:r>
      <w:r>
        <w:t>A.H. Arzai for his academic and</w:t>
      </w:r>
      <w:r w:rsidRPr="00BB1B43">
        <w:t xml:space="preserve"> </w:t>
      </w:r>
      <w:r>
        <w:t>moral support most</w:t>
      </w:r>
      <w:r w:rsidRPr="00BB1B43">
        <w:t xml:space="preserve"> be appreciated.</w:t>
      </w:r>
      <w:r>
        <w:t xml:space="preserve"> I am equally grateful to all the</w:t>
      </w:r>
      <w:r w:rsidRPr="00BB1B43">
        <w:t xml:space="preserve"> lecturers in the Department of Microbiology,</w:t>
      </w:r>
      <w:r>
        <w:t xml:space="preserve"> Bayero University Kano that play their</w:t>
      </w:r>
      <w:r w:rsidRPr="00BB1B43">
        <w:t xml:space="preserve"> role</w:t>
      </w:r>
      <w:r>
        <w:t>s</w:t>
      </w:r>
      <w:r w:rsidRPr="00BB1B43">
        <w:t xml:space="preserve"> during the period of my study. </w:t>
      </w:r>
    </w:p>
    <w:p w:rsidR="009421F1" w:rsidRPr="00BB1B43" w:rsidRDefault="009421F1" w:rsidP="009421F1">
      <w:pPr>
        <w:jc w:val="both"/>
      </w:pPr>
      <w:r w:rsidRPr="00BB1B43">
        <w:t>I acknowledge</w:t>
      </w:r>
      <w:r>
        <w:t>d</w:t>
      </w:r>
      <w:r w:rsidRPr="00BB1B43">
        <w:t xml:space="preserve"> with deep</w:t>
      </w:r>
      <w:r>
        <w:t xml:space="preserve"> appreciation the contribution of Mal.</w:t>
      </w:r>
      <w:r w:rsidRPr="00BB1B43">
        <w:t xml:space="preserve"> Nasiru Magaji and Hamid</w:t>
      </w:r>
      <w:r>
        <w:t>a Koguna</w:t>
      </w:r>
      <w:r w:rsidRPr="00BB1B43">
        <w:t xml:space="preserve"> of the Pathology Department Aminu Kano Teaching Hospital Kano during the analysis of this work. I </w:t>
      </w:r>
      <w:r>
        <w:t xml:space="preserve">wish to thank Naziru </w:t>
      </w:r>
      <w:r w:rsidRPr="00BB1B43">
        <w:t>T</w:t>
      </w:r>
      <w:r>
        <w:t>.</w:t>
      </w:r>
      <w:r w:rsidRPr="00BB1B43">
        <w:t xml:space="preserve"> Zub</w:t>
      </w:r>
      <w:r>
        <w:t>air for his contribution to the research</w:t>
      </w:r>
      <w:r w:rsidRPr="00BB1B43">
        <w:t>. My appreciation goes</w:t>
      </w:r>
      <w:r>
        <w:t xml:space="preserve"> to my colleagues</w:t>
      </w:r>
      <w:r w:rsidRPr="00BB1B43">
        <w:t xml:space="preserve">, friends and well-wishers.   </w:t>
      </w:r>
    </w:p>
    <w:p w:rsidR="009421F1" w:rsidRDefault="009421F1" w:rsidP="009421F1">
      <w:pPr>
        <w:pStyle w:val="Els-2ndorder-head"/>
        <w:keepNext w:val="0"/>
        <w:widowControl w:val="0"/>
        <w:numPr>
          <w:ilvl w:val="0"/>
          <w:numId w:val="0"/>
        </w:numPr>
        <w:tabs>
          <w:tab w:val="left" w:pos="4755"/>
        </w:tabs>
        <w:spacing w:before="100" w:beforeAutospacing="1" w:after="100" w:afterAutospacing="1" w:line="360" w:lineRule="auto"/>
        <w:jc w:val="both"/>
        <w:rPr>
          <w:b/>
          <w:bCs/>
          <w:i w:val="0"/>
        </w:rPr>
      </w:pPr>
    </w:p>
    <w:p w:rsidR="009421F1" w:rsidRPr="00BB1B43" w:rsidRDefault="009421F1" w:rsidP="009421F1">
      <w:pPr>
        <w:pStyle w:val="Els-2ndorder-head"/>
        <w:keepNext w:val="0"/>
        <w:widowControl w:val="0"/>
        <w:numPr>
          <w:ilvl w:val="0"/>
          <w:numId w:val="0"/>
        </w:numPr>
        <w:tabs>
          <w:tab w:val="left" w:pos="4755"/>
        </w:tabs>
        <w:spacing w:before="100" w:beforeAutospacing="1" w:after="100" w:afterAutospacing="1" w:line="360" w:lineRule="auto"/>
        <w:jc w:val="both"/>
        <w:rPr>
          <w:b/>
          <w:bCs/>
          <w:i w:val="0"/>
        </w:rPr>
      </w:pPr>
      <w:r w:rsidRPr="00BB1B43">
        <w:rPr>
          <w:b/>
          <w:bCs/>
          <w:i w:val="0"/>
        </w:rPr>
        <w:t>References</w:t>
      </w:r>
    </w:p>
    <w:p w:rsidR="009421F1" w:rsidRPr="00BB1B43" w:rsidRDefault="009421F1" w:rsidP="009421F1">
      <w:pPr>
        <w:pStyle w:val="ListParagraph"/>
        <w:widowControl/>
        <w:numPr>
          <w:ilvl w:val="0"/>
          <w:numId w:val="20"/>
        </w:numPr>
        <w:spacing w:after="200" w:line="276" w:lineRule="auto"/>
        <w:contextualSpacing/>
        <w:jc w:val="both"/>
        <w:rPr>
          <w:rFonts w:ascii="Times New Roman"/>
          <w:sz w:val="20"/>
          <w:szCs w:val="20"/>
        </w:rPr>
      </w:pPr>
      <w:r w:rsidRPr="00BB1B43">
        <w:rPr>
          <w:rFonts w:ascii="Times New Roman"/>
          <w:sz w:val="20"/>
          <w:szCs w:val="20"/>
        </w:rPr>
        <w:lastRenderedPageBreak/>
        <w:t xml:space="preserve">Henderson, S.H., Lindsay M.K. Haggins, J.E., Clark W.S., Bulterts, M., Mesheim, S.R. </w:t>
      </w:r>
      <w:r w:rsidRPr="00BB1B43">
        <w:rPr>
          <w:rFonts w:ascii="Times New Roman"/>
          <w:sz w:val="20"/>
          <w:szCs w:val="20"/>
        </w:rPr>
        <w:t>“</w:t>
      </w:r>
      <w:r w:rsidRPr="00BB1B43">
        <w:rPr>
          <w:rFonts w:ascii="Times New Roman"/>
          <w:sz w:val="20"/>
          <w:szCs w:val="20"/>
        </w:rPr>
        <w:t>Experiences with Routine Voluntary Perinata Human Immun</w:t>
      </w:r>
      <w:r>
        <w:rPr>
          <w:rFonts w:ascii="Times New Roman"/>
          <w:sz w:val="20"/>
          <w:szCs w:val="20"/>
        </w:rPr>
        <w:t>s</w:t>
      </w:r>
      <w:r w:rsidRPr="00BB1B43">
        <w:rPr>
          <w:rFonts w:ascii="Times New Roman"/>
          <w:sz w:val="20"/>
          <w:szCs w:val="20"/>
        </w:rPr>
        <w:t>odeficiency Virus Testing in an Inner City Hospital.</w:t>
      </w:r>
      <w:r w:rsidRPr="00BB1B43">
        <w:rPr>
          <w:rFonts w:ascii="Times New Roman"/>
          <w:sz w:val="20"/>
          <w:szCs w:val="20"/>
        </w:rPr>
        <w:t>”</w:t>
      </w:r>
      <w:r w:rsidRPr="00BB1B43">
        <w:rPr>
          <w:rFonts w:ascii="Times New Roman"/>
          <w:sz w:val="20"/>
          <w:szCs w:val="20"/>
        </w:rPr>
        <w:t xml:space="preserve"> </w:t>
      </w:r>
      <w:r w:rsidRPr="00BB1B43">
        <w:rPr>
          <w:rFonts w:ascii="Times New Roman"/>
          <w:i/>
          <w:sz w:val="20"/>
          <w:szCs w:val="20"/>
        </w:rPr>
        <w:t>Pediata Infect D.S</w:t>
      </w:r>
      <w:r w:rsidRPr="00BB1B43">
        <w:rPr>
          <w:rFonts w:ascii="Times New Roman"/>
          <w:sz w:val="20"/>
          <w:szCs w:val="20"/>
        </w:rPr>
        <w:t>, 20 (11): 1090-2, 2001.</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Alexander W.S, Starr R, Metcal F.D, Nicholson S.E, Farley A, Elefanty A.G, Brysha M, Kile B.T, Richardson</w:t>
      </w:r>
      <w:r w:rsidRPr="00BB1B43">
        <w:rPr>
          <w:rFonts w:ascii="Times New Roman"/>
          <w:sz w:val="20"/>
          <w:szCs w:val="20"/>
        </w:rPr>
        <w:t xml:space="preserve"> </w:t>
      </w:r>
      <w:r w:rsidRPr="00BB1B43">
        <w:rPr>
          <w:rFonts w:ascii="Times New Roman"/>
          <w:sz w:val="20"/>
          <w:szCs w:val="20"/>
        </w:rPr>
        <w:t>“</w:t>
      </w:r>
      <w:r w:rsidRPr="00BB1B43">
        <w:rPr>
          <w:rFonts w:ascii="Times New Roman"/>
          <w:sz w:val="20"/>
          <w:szCs w:val="20"/>
        </w:rPr>
        <w:t>Suppressors of Cytokine Signalling (SOCS): Negative Regulators of Signal Transduction</w:t>
      </w:r>
      <w:r w:rsidRPr="00BB1B43">
        <w:rPr>
          <w:rFonts w:ascii="Times New Roman"/>
          <w:sz w:val="20"/>
          <w:szCs w:val="20"/>
        </w:rPr>
        <w:t>”</w:t>
      </w:r>
      <w:r w:rsidRPr="00BB1B43">
        <w:rPr>
          <w:rFonts w:ascii="Times New Roman"/>
          <w:sz w:val="20"/>
          <w:szCs w:val="20"/>
        </w:rPr>
        <w:t>,</w:t>
      </w:r>
      <w:r w:rsidRPr="00BB1B43">
        <w:rPr>
          <w:rFonts w:ascii="Times New Roman"/>
          <w:i/>
          <w:sz w:val="20"/>
          <w:szCs w:val="20"/>
        </w:rPr>
        <w:t xml:space="preserve"> Jleukoc Biol,</w:t>
      </w:r>
      <w:r w:rsidRPr="00BB1B43">
        <w:rPr>
          <w:rFonts w:ascii="Times New Roman"/>
          <w:sz w:val="20"/>
          <w:szCs w:val="20"/>
        </w:rPr>
        <w:t xml:space="preserve"> 66 (4</w:t>
      </w:r>
      <w:r w:rsidRPr="00BB1B43">
        <w:rPr>
          <w:rFonts w:ascii="Times New Roman"/>
          <w:b/>
          <w:sz w:val="20"/>
          <w:szCs w:val="20"/>
        </w:rPr>
        <w:t>)</w:t>
      </w:r>
      <w:r w:rsidRPr="00BB1B43">
        <w:rPr>
          <w:rFonts w:ascii="Times New Roman"/>
          <w:sz w:val="20"/>
          <w:szCs w:val="20"/>
        </w:rPr>
        <w:t xml:space="preserve">: 588 </w:t>
      </w:r>
      <w:r w:rsidRPr="00BB1B43">
        <w:rPr>
          <w:rFonts w:ascii="Times New Roman"/>
          <w:sz w:val="20"/>
          <w:szCs w:val="20"/>
        </w:rPr>
        <w:t>–</w:t>
      </w:r>
      <w:r w:rsidRPr="00BB1B43">
        <w:rPr>
          <w:rFonts w:ascii="Times New Roman"/>
          <w:sz w:val="20"/>
          <w:szCs w:val="20"/>
        </w:rPr>
        <w:t xml:space="preserve"> 91</w:t>
      </w:r>
      <w:r w:rsidRPr="00BB1B43">
        <w:rPr>
          <w:rFonts w:ascii="Times New Roman" w:eastAsia="Times New Roman"/>
          <w:sz w:val="20"/>
          <w:szCs w:val="20"/>
          <w:lang w:eastAsia="en-GB"/>
        </w:rPr>
        <w:t xml:space="preserve"> ,88:455-9, 2006.</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Van Damme, P., Tormans, G., Beutels, P. and Van Doorslaea E., </w:t>
      </w:r>
      <w:r w:rsidRPr="00BB1B43">
        <w:rPr>
          <w:rFonts w:ascii="Times New Roman" w:eastAsia="Times New Roman"/>
          <w:sz w:val="20"/>
          <w:szCs w:val="20"/>
          <w:lang w:eastAsia="en-GB"/>
        </w:rPr>
        <w:t>“</w:t>
      </w:r>
      <w:r w:rsidRPr="00BB1B43">
        <w:rPr>
          <w:rFonts w:ascii="Times New Roman" w:eastAsia="Times New Roman"/>
          <w:sz w:val="20"/>
          <w:szCs w:val="20"/>
          <w:lang w:eastAsia="en-GB"/>
        </w:rPr>
        <w:t>Hepatitis B Prevention in European Preliminary Economic Evaluation Vaccine,</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13 (1), 554-7, 1995.</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Wong, V.C. </w:t>
      </w:r>
      <w:r w:rsidRPr="00BB1B43">
        <w:rPr>
          <w:rFonts w:ascii="Times New Roman" w:eastAsia="Times New Roman"/>
          <w:sz w:val="20"/>
          <w:szCs w:val="20"/>
          <w:lang w:eastAsia="en-GB"/>
        </w:rPr>
        <w:t>“</w:t>
      </w:r>
      <w:r w:rsidRPr="00BB1B43">
        <w:rPr>
          <w:rFonts w:ascii="Times New Roman" w:eastAsia="Times New Roman"/>
          <w:sz w:val="20"/>
          <w:szCs w:val="20"/>
          <w:lang w:eastAsia="en-GB"/>
        </w:rPr>
        <w:t>Prevention of the HBsAg carrier state in Newborn Infants of Mother who are chronic carriers of HBsAg and HBeAg by Administration of Vaccine and Hepatitis B Immunoglobulin. Lancet,</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1,921, 1984.</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Alter M.J. </w:t>
      </w:r>
      <w:r w:rsidRPr="00BB1B43">
        <w:rPr>
          <w:rFonts w:ascii="Times New Roman" w:eastAsia="Times New Roman"/>
          <w:sz w:val="20"/>
          <w:szCs w:val="20"/>
          <w:lang w:eastAsia="en-GB"/>
        </w:rPr>
        <w:t>“</w:t>
      </w:r>
      <w:r w:rsidRPr="00BB1B43">
        <w:rPr>
          <w:rFonts w:ascii="Times New Roman" w:eastAsia="Times New Roman"/>
          <w:sz w:val="20"/>
          <w:szCs w:val="20"/>
          <w:lang w:eastAsia="en-GB"/>
        </w:rPr>
        <w:t>Epidemiology of viral hepatitis and HIV Coinfection,</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J. Hepatol.,</w:t>
      </w:r>
      <w:r w:rsidRPr="00BB1B43">
        <w:rPr>
          <w:rFonts w:ascii="Times New Roman" w:eastAsia="Times New Roman"/>
          <w:i/>
          <w:sz w:val="20"/>
          <w:szCs w:val="20"/>
          <w:lang w:eastAsia="en-GB"/>
        </w:rPr>
        <w:t xml:space="preserve"> </w:t>
      </w:r>
      <w:r w:rsidRPr="00BB1B43">
        <w:rPr>
          <w:rFonts w:ascii="Times New Roman" w:eastAsia="Times New Roman"/>
          <w:sz w:val="20"/>
          <w:szCs w:val="20"/>
          <w:lang w:eastAsia="en-GB"/>
        </w:rPr>
        <w:t>44:56-9, 2006.</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Gashau W and Mohammed J. </w:t>
      </w:r>
      <w:r w:rsidRPr="00BB1B43">
        <w:rPr>
          <w:rFonts w:ascii="Times New Roman" w:eastAsia="Times New Roman"/>
          <w:sz w:val="20"/>
          <w:szCs w:val="20"/>
          <w:lang w:eastAsia="en-GB"/>
        </w:rPr>
        <w:t>“</w:t>
      </w:r>
      <w:r w:rsidRPr="00BB1B43">
        <w:rPr>
          <w:rFonts w:ascii="Times New Roman" w:eastAsia="Times New Roman"/>
          <w:sz w:val="20"/>
          <w:szCs w:val="20"/>
          <w:lang w:eastAsia="en-GB"/>
        </w:rPr>
        <w:t>Hepatitis B Viral Markers in Nigerian Patients with Primary Liver Carcinoma.</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Trop Geogr. Med, 34,64-7, 1991.</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Isselbacher K.J and Wands J.R.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Meoplasms of the liver in: Wilson J.D, Braunwald E, Isselbacher K, (eds). </w:t>
      </w:r>
      <w:r w:rsidRPr="00BB1B43">
        <w:rPr>
          <w:rFonts w:ascii="Times New Roman" w:eastAsia="Times New Roman"/>
          <w:i/>
          <w:sz w:val="20"/>
          <w:szCs w:val="20"/>
          <w:lang w:eastAsia="en-GB"/>
        </w:rPr>
        <w:t>Harrison</w:t>
      </w:r>
      <w:r w:rsidRPr="00BB1B43">
        <w:rPr>
          <w:rFonts w:ascii="Times New Roman" w:eastAsia="Times New Roman"/>
          <w:i/>
          <w:sz w:val="20"/>
          <w:szCs w:val="20"/>
          <w:lang w:eastAsia="en-GB"/>
        </w:rPr>
        <w:t>’</w:t>
      </w:r>
      <w:r w:rsidRPr="00BB1B43">
        <w:rPr>
          <w:rFonts w:ascii="Times New Roman" w:eastAsia="Times New Roman"/>
          <w:i/>
          <w:sz w:val="20"/>
          <w:szCs w:val="20"/>
          <w:lang w:eastAsia="en-GB"/>
        </w:rPr>
        <w:t>s principles of internal medicine.</w:t>
      </w:r>
      <w:r w:rsidRPr="00BB1B43">
        <w:rPr>
          <w:rFonts w:ascii="Times New Roman" w:eastAsia="Times New Roman"/>
          <w:sz w:val="20"/>
          <w:szCs w:val="20"/>
          <w:lang w:eastAsia="en-GB"/>
        </w:rPr>
        <w:t xml:space="preserve"> 12</w:t>
      </w:r>
      <w:r w:rsidRPr="00BB1B43">
        <w:rPr>
          <w:rFonts w:ascii="Times New Roman" w:eastAsia="Times New Roman"/>
          <w:sz w:val="20"/>
          <w:szCs w:val="20"/>
          <w:vertAlign w:val="superscript"/>
          <w:lang w:eastAsia="en-GB"/>
        </w:rPr>
        <w:t>th</w:t>
      </w:r>
      <w:r w:rsidRPr="00BB1B43">
        <w:rPr>
          <w:rFonts w:ascii="Times New Roman" w:eastAsia="Times New Roman"/>
          <w:sz w:val="20"/>
          <w:szCs w:val="20"/>
          <w:lang w:eastAsia="en-GB"/>
        </w:rPr>
        <w:t xml:space="preserve"> ed,, vol.1, New York: Mc Grow Hill, 1991, P. 1350-2.</w:t>
      </w:r>
    </w:p>
    <w:p w:rsidR="009421F1" w:rsidRPr="00BB1B43" w:rsidRDefault="009421F1" w:rsidP="009421F1">
      <w:pPr>
        <w:pStyle w:val="ListParagraph"/>
        <w:widowControl/>
        <w:numPr>
          <w:ilvl w:val="0"/>
          <w:numId w:val="20"/>
        </w:numPr>
        <w:spacing w:after="200"/>
        <w:contextualSpacing/>
        <w:jc w:val="both"/>
        <w:rPr>
          <w:rFonts w:ascii="Times New Roman"/>
          <w:sz w:val="20"/>
          <w:szCs w:val="20"/>
        </w:rPr>
      </w:pPr>
      <w:r w:rsidRPr="00BB1B43">
        <w:rPr>
          <w:rFonts w:ascii="Times New Roman"/>
          <w:sz w:val="20"/>
          <w:szCs w:val="20"/>
        </w:rPr>
        <w:t xml:space="preserve">Petersen, N.J., Barrett D.H., Bond, W.W., Bequest, K.R., Farew, M.S., Bender T.R. </w:t>
      </w:r>
      <w:r w:rsidRPr="00BB1B43">
        <w:rPr>
          <w:rFonts w:ascii="Times New Roman"/>
          <w:sz w:val="20"/>
          <w:szCs w:val="20"/>
        </w:rPr>
        <w:t>“</w:t>
      </w:r>
      <w:r w:rsidRPr="00BB1B43">
        <w:rPr>
          <w:rFonts w:ascii="Times New Roman"/>
          <w:sz w:val="20"/>
          <w:szCs w:val="20"/>
        </w:rPr>
        <w:t>Hepatitis B Surface Antigen in Saliva, Impetiginous Lesions, and the Environment in two remote Alaskan Villages.</w:t>
      </w:r>
      <w:r w:rsidRPr="00BB1B43">
        <w:rPr>
          <w:rFonts w:ascii="Times New Roman"/>
          <w:sz w:val="20"/>
          <w:szCs w:val="20"/>
        </w:rPr>
        <w:t>”</w:t>
      </w:r>
      <w:r w:rsidRPr="00BB1B43">
        <w:rPr>
          <w:rFonts w:ascii="Times New Roman"/>
          <w:sz w:val="20"/>
          <w:szCs w:val="20"/>
        </w:rPr>
        <w:t xml:space="preserve"> </w:t>
      </w:r>
      <w:r w:rsidRPr="00BB1B43">
        <w:rPr>
          <w:rFonts w:ascii="Times New Roman"/>
          <w:i/>
          <w:sz w:val="20"/>
          <w:szCs w:val="20"/>
        </w:rPr>
        <w:t>Appl Environ Microbial</w:t>
      </w:r>
      <w:r w:rsidRPr="00BB1B43">
        <w:rPr>
          <w:rFonts w:ascii="Times New Roman"/>
          <w:sz w:val="20"/>
          <w:szCs w:val="20"/>
        </w:rPr>
        <w:t>, 32:572-4, 1976.</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Olokoba A.B, Salawu F.K, Damburam A, Olokoba LB, Midala KK, Badung LH and Olatinw A. </w:t>
      </w:r>
      <w:r w:rsidRPr="00BB1B43">
        <w:rPr>
          <w:rFonts w:ascii="Times New Roman" w:eastAsia="Times New Roman"/>
          <w:sz w:val="20"/>
          <w:szCs w:val="20"/>
          <w:lang w:eastAsia="en-GB"/>
        </w:rPr>
        <w:t>“</w:t>
      </w:r>
      <w:r w:rsidRPr="00BB1B43">
        <w:rPr>
          <w:rFonts w:ascii="Times New Roman" w:eastAsia="Times New Roman"/>
          <w:sz w:val="20"/>
          <w:szCs w:val="20"/>
          <w:lang w:eastAsia="en-GB"/>
        </w:rPr>
        <w:t>Hepatitis B virus infection amongst pregnant women in North-Eastern Nigeria-Eastern Nigeria- A call for action.</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Niger J. </w:t>
      </w:r>
      <w:r w:rsidRPr="00BB1B43">
        <w:rPr>
          <w:rFonts w:ascii="Times New Roman" w:eastAsia="Times New Roman"/>
          <w:i/>
          <w:sz w:val="20"/>
          <w:szCs w:val="20"/>
          <w:lang w:eastAsia="en-GB"/>
        </w:rPr>
        <w:t>ClinPract,</w:t>
      </w:r>
      <w:r w:rsidRPr="00BB1B43">
        <w:rPr>
          <w:rFonts w:ascii="Times New Roman" w:eastAsia="Times New Roman"/>
          <w:sz w:val="20"/>
          <w:szCs w:val="20"/>
          <w:lang w:eastAsia="en-GB"/>
        </w:rPr>
        <w:t>14:10-3, 2011.</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Ganem D and Prince A.M.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Hepatitis B. </w:t>
      </w:r>
      <w:r w:rsidRPr="00BB1B43">
        <w:rPr>
          <w:rFonts w:ascii="Times New Roman" w:eastAsia="Times New Roman"/>
          <w:sz w:val="20"/>
          <w:szCs w:val="20"/>
          <w:lang w:eastAsia="en-GB"/>
        </w:rPr>
        <w:t>“</w:t>
      </w:r>
      <w:r w:rsidRPr="00BB1B43">
        <w:rPr>
          <w:rFonts w:ascii="Times New Roman" w:eastAsia="Times New Roman"/>
          <w:sz w:val="20"/>
          <w:szCs w:val="20"/>
          <w:lang w:eastAsia="en-GB"/>
        </w:rPr>
        <w:t>Virus Infection National History and Clinical Consequences.</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N </w:t>
      </w:r>
      <w:r w:rsidRPr="00BB1B43">
        <w:rPr>
          <w:rFonts w:ascii="Times New Roman" w:eastAsia="Times New Roman"/>
          <w:i/>
          <w:sz w:val="20"/>
          <w:szCs w:val="20"/>
          <w:lang w:eastAsia="en-GB"/>
        </w:rPr>
        <w:t>Engl. J. Med</w:t>
      </w:r>
      <w:r w:rsidRPr="00BB1B43">
        <w:rPr>
          <w:rFonts w:ascii="Times New Roman" w:eastAsia="Times New Roman"/>
          <w:sz w:val="20"/>
          <w:szCs w:val="20"/>
          <w:lang w:eastAsia="en-GB"/>
        </w:rPr>
        <w:t xml:space="preserve">., 350:1118-29, 2004. </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Maddrey W.C. </w:t>
      </w:r>
      <w:r w:rsidRPr="00BB1B43">
        <w:rPr>
          <w:rFonts w:ascii="Times New Roman" w:eastAsia="Times New Roman"/>
          <w:sz w:val="20"/>
          <w:szCs w:val="20"/>
          <w:lang w:eastAsia="en-GB"/>
        </w:rPr>
        <w:t>“</w:t>
      </w:r>
      <w:r w:rsidRPr="00BB1B43">
        <w:rPr>
          <w:rFonts w:ascii="Times New Roman" w:eastAsia="Times New Roman"/>
          <w:sz w:val="20"/>
          <w:szCs w:val="20"/>
          <w:lang w:eastAsia="en-GB"/>
        </w:rPr>
        <w:t>Hepatitis B; an Important Public Health Issues,</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J. Med virol, 61:362-6, 2000.</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Kane M. </w:t>
      </w:r>
      <w:r w:rsidRPr="00BB1B43">
        <w:rPr>
          <w:rFonts w:ascii="Times New Roman" w:eastAsia="Times New Roman"/>
          <w:sz w:val="20"/>
          <w:szCs w:val="20"/>
          <w:lang w:eastAsia="en-GB"/>
        </w:rPr>
        <w:t>“</w:t>
      </w:r>
      <w:r w:rsidRPr="00BB1B43">
        <w:rPr>
          <w:rFonts w:ascii="Times New Roman" w:eastAsia="Times New Roman"/>
          <w:sz w:val="20"/>
          <w:szCs w:val="20"/>
          <w:lang w:eastAsia="en-GB"/>
        </w:rPr>
        <w:t>Global Programme for Control of Hepatitis B Infections.</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Vaccine</w:t>
      </w:r>
      <w:r w:rsidRPr="00BB1B43">
        <w:rPr>
          <w:rFonts w:ascii="Times New Roman" w:eastAsia="Times New Roman"/>
          <w:sz w:val="20"/>
          <w:szCs w:val="20"/>
          <w:lang w:eastAsia="en-GB"/>
        </w:rPr>
        <w:t>, 13:547-9, 1995.</w:t>
      </w:r>
    </w:p>
    <w:p w:rsidR="009421F1" w:rsidRPr="00BB1B43" w:rsidRDefault="009421F1" w:rsidP="009421F1">
      <w:pPr>
        <w:pStyle w:val="ListParagraph"/>
        <w:widowControl/>
        <w:numPr>
          <w:ilvl w:val="0"/>
          <w:numId w:val="20"/>
        </w:numPr>
        <w:spacing w:after="200" w:line="276" w:lineRule="auto"/>
        <w:contextualSpacing/>
        <w:jc w:val="both"/>
        <w:rPr>
          <w:rFonts w:ascii="Times New Roman"/>
          <w:sz w:val="20"/>
          <w:szCs w:val="20"/>
        </w:rPr>
      </w:pPr>
      <w:r w:rsidRPr="00BB1B43">
        <w:rPr>
          <w:rFonts w:ascii="Times New Roman"/>
          <w:sz w:val="20"/>
          <w:szCs w:val="20"/>
        </w:rPr>
        <w:t>Center for Disease Control and Prevention (2013).Rubella and Congenital Rubella Syndrom</w:t>
      </w:r>
      <w:r>
        <w:rPr>
          <w:rFonts w:ascii="Times New Roman"/>
          <w:sz w:val="20"/>
          <w:szCs w:val="20"/>
        </w:rPr>
        <w:t>e</w:t>
      </w:r>
      <w:r w:rsidRPr="00BB1B43">
        <w:rPr>
          <w:rFonts w:ascii="Times New Roman"/>
          <w:sz w:val="20"/>
          <w:szCs w:val="20"/>
        </w:rPr>
        <w:t xml:space="preserve">, Control and elimination. </w:t>
      </w:r>
      <w:r w:rsidRPr="00BB1B43">
        <w:rPr>
          <w:rFonts w:ascii="Times New Roman"/>
          <w:i/>
          <w:sz w:val="20"/>
          <w:szCs w:val="20"/>
        </w:rPr>
        <w:t>Global press, 2000-2012</w:t>
      </w:r>
      <w:r w:rsidRPr="00BB1B43">
        <w:rPr>
          <w:rFonts w:ascii="Times New Roman"/>
          <w:sz w:val="20"/>
          <w:szCs w:val="20"/>
        </w:rPr>
        <w:t>, 62 (48), 983-6.</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Bamgboye A.E, Afolabi K.A, Esumah F.I and Enwean, I.B. </w:t>
      </w:r>
      <w:r w:rsidRPr="00BB1B43">
        <w:rPr>
          <w:rFonts w:ascii="Times New Roman" w:eastAsia="Times New Roman"/>
          <w:sz w:val="20"/>
          <w:szCs w:val="20"/>
          <w:lang w:eastAsia="en-GB"/>
        </w:rPr>
        <w:t>“</w:t>
      </w:r>
      <w:r w:rsidRPr="00BB1B43">
        <w:rPr>
          <w:rFonts w:ascii="Times New Roman" w:eastAsia="Times New Roman"/>
          <w:sz w:val="20"/>
          <w:szCs w:val="20"/>
          <w:lang w:eastAsia="en-GB"/>
        </w:rPr>
        <w:t>Prevalence of rubella antibody in pregnant women in Ibadan, Nigeria.</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West Afr. J. Med.</w:t>
      </w:r>
      <w:r w:rsidRPr="00BB1B43">
        <w:rPr>
          <w:rFonts w:ascii="Times New Roman" w:eastAsia="Times New Roman"/>
          <w:sz w:val="20"/>
          <w:szCs w:val="20"/>
          <w:lang w:eastAsia="en-GB"/>
        </w:rPr>
        <w:t>, 23 (3), 245-8, 2004.</w:t>
      </w:r>
      <w:r w:rsidRPr="00BB1B43">
        <w:rPr>
          <w:rFonts w:ascii="Times New Roman" w:eastAsia="Times New Roman"/>
          <w:sz w:val="20"/>
          <w:szCs w:val="20"/>
          <w:lang w:eastAsia="en-GB"/>
        </w:rPr>
        <w:t>                                                          </w:t>
      </w:r>
      <w:r w:rsidRPr="00BB1B43">
        <w:rPr>
          <w:rFonts w:ascii="Times New Roman" w:eastAsia="Times New Roman"/>
          <w:sz w:val="20"/>
          <w:szCs w:val="20"/>
          <w:lang w:eastAsia="en-GB"/>
        </w:rPr>
        <w:t xml:space="preserve"> </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Bukbuk D.N, A-Nafaty A.U, Obed J.Y. </w:t>
      </w:r>
      <w:r w:rsidRPr="00BB1B43">
        <w:rPr>
          <w:rFonts w:ascii="Times New Roman" w:eastAsia="Times New Roman"/>
          <w:sz w:val="20"/>
          <w:szCs w:val="20"/>
          <w:lang w:eastAsia="en-GB"/>
        </w:rPr>
        <w:t>“</w:t>
      </w:r>
      <w:r w:rsidRPr="00BB1B43">
        <w:rPr>
          <w:rFonts w:ascii="Times New Roman" w:eastAsia="Times New Roman"/>
          <w:sz w:val="20"/>
          <w:szCs w:val="20"/>
          <w:lang w:eastAsia="en-GB"/>
        </w:rPr>
        <w:t>Prevalence of rubella-specific IgG antibody in non-immunized pregnant women in Maiduguri, north eastern Nigeria.</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Cent Eur J. Public Health</w:t>
      </w:r>
      <w:r w:rsidRPr="00BB1B43">
        <w:rPr>
          <w:rFonts w:ascii="Times New Roman" w:eastAsia="Times New Roman"/>
          <w:sz w:val="20"/>
          <w:szCs w:val="20"/>
          <w:lang w:eastAsia="en-GB"/>
        </w:rPr>
        <w:t xml:space="preserve">., (10)1-2, 21-3, 2002. </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Onyenkwe C.C, Kelinde-Agbeyangi T.A, Offor W.S and Arinola O.G. </w:t>
      </w:r>
      <w:r w:rsidRPr="00BB1B43">
        <w:rPr>
          <w:rFonts w:ascii="Times New Roman" w:eastAsia="Times New Roman"/>
          <w:sz w:val="20"/>
          <w:szCs w:val="20"/>
          <w:lang w:eastAsia="en-GB"/>
        </w:rPr>
        <w:t>“</w:t>
      </w:r>
      <w:r w:rsidRPr="00BB1B43">
        <w:rPr>
          <w:rFonts w:ascii="Times New Roman" w:eastAsia="Times New Roman"/>
          <w:sz w:val="20"/>
          <w:szCs w:val="20"/>
          <w:lang w:eastAsia="en-GB"/>
        </w:rPr>
        <w:t>Prevalence of rubella IgG antibody in women of child bearing age in Lagos, Nigeria.</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West Afr. J. Med.</w:t>
      </w:r>
      <w:r w:rsidRPr="00BB1B43">
        <w:rPr>
          <w:rFonts w:ascii="Times New Roman" w:eastAsia="Times New Roman"/>
          <w:sz w:val="20"/>
          <w:szCs w:val="20"/>
          <w:lang w:eastAsia="en-GB"/>
        </w:rPr>
        <w:t xml:space="preserve"> 19(1), 23-6, 2000.</w:t>
      </w:r>
    </w:p>
    <w:p w:rsidR="009421F1" w:rsidRPr="00BB1B43" w:rsidRDefault="009421F1" w:rsidP="009421F1">
      <w:pPr>
        <w:pStyle w:val="ListParagraph"/>
        <w:widowControl/>
        <w:numPr>
          <w:ilvl w:val="0"/>
          <w:numId w:val="20"/>
        </w:numPr>
        <w:spacing w:after="200" w:line="276" w:lineRule="auto"/>
        <w:contextualSpacing/>
        <w:jc w:val="both"/>
        <w:rPr>
          <w:rFonts w:ascii="Times New Roman"/>
          <w:sz w:val="20"/>
          <w:szCs w:val="20"/>
        </w:rPr>
      </w:pPr>
      <w:r w:rsidRPr="00BB1B43">
        <w:rPr>
          <w:rFonts w:ascii="Times New Roman"/>
          <w:sz w:val="20"/>
          <w:szCs w:val="20"/>
        </w:rPr>
        <w:t xml:space="preserve">Odelola H.A., Fabiyi A.; Famidusi J.B. (1997). </w:t>
      </w:r>
      <w:r w:rsidRPr="00BB1B43">
        <w:rPr>
          <w:rFonts w:ascii="Times New Roman"/>
          <w:sz w:val="20"/>
          <w:szCs w:val="20"/>
        </w:rPr>
        <w:t>“</w:t>
      </w:r>
      <w:r w:rsidRPr="00BB1B43">
        <w:rPr>
          <w:rFonts w:ascii="Times New Roman"/>
          <w:sz w:val="20"/>
          <w:szCs w:val="20"/>
        </w:rPr>
        <w:t>Distribution of Rubella Virus Antibodies in Nigeria.</w:t>
      </w:r>
      <w:r w:rsidRPr="00BB1B43">
        <w:rPr>
          <w:rFonts w:ascii="Times New Roman"/>
          <w:sz w:val="20"/>
          <w:szCs w:val="20"/>
        </w:rPr>
        <w:t>”</w:t>
      </w:r>
      <w:r w:rsidRPr="00BB1B43">
        <w:rPr>
          <w:rFonts w:ascii="Times New Roman"/>
          <w:sz w:val="20"/>
          <w:szCs w:val="20"/>
        </w:rPr>
        <w:t xml:space="preserve"> </w:t>
      </w:r>
      <w:r w:rsidRPr="00BB1B43">
        <w:rPr>
          <w:rFonts w:ascii="Times New Roman"/>
          <w:i/>
          <w:sz w:val="20"/>
          <w:szCs w:val="20"/>
        </w:rPr>
        <w:t>Trans R Soc Trop Med. Hyg</w:t>
      </w:r>
      <w:r w:rsidRPr="00BB1B43">
        <w:rPr>
          <w:rFonts w:ascii="Times New Roman"/>
          <w:sz w:val="20"/>
          <w:szCs w:val="20"/>
        </w:rPr>
        <w:t>., (online) 75, 69-80, www.bioline.org.</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Forbi J.C, Pennap G, Amauche G, Sjoge H and Gabadi S.A. </w:t>
      </w:r>
      <w:r w:rsidRPr="00BB1B43">
        <w:rPr>
          <w:rFonts w:ascii="Times New Roman" w:eastAsia="Times New Roman"/>
          <w:sz w:val="20"/>
          <w:szCs w:val="20"/>
          <w:lang w:eastAsia="en-GB"/>
        </w:rPr>
        <w:t>“</w:t>
      </w:r>
      <w:r w:rsidRPr="00BB1B43">
        <w:rPr>
          <w:rFonts w:ascii="Times New Roman" w:eastAsia="Times New Roman"/>
          <w:sz w:val="20"/>
          <w:szCs w:val="20"/>
          <w:lang w:eastAsia="en-GB"/>
        </w:rPr>
        <w:t>Serologic Survey of Specific Rubella Virus IgM in the sera of Pregnant Women in Makurdi, Benue State, Nigeria.</w:t>
      </w:r>
      <w:r w:rsidRPr="00BB1B43">
        <w:rPr>
          <w:rFonts w:ascii="Times New Roman" w:eastAsia="Times New Roman"/>
          <w:sz w:val="20"/>
          <w:szCs w:val="20"/>
          <w:lang w:eastAsia="en-GB"/>
        </w:rPr>
        <w:t>”</w:t>
      </w:r>
      <w:r w:rsidRPr="00BB1B43">
        <w:rPr>
          <w:rFonts w:ascii="Times New Roman" w:eastAsia="Times New Roman"/>
          <w:i/>
          <w:sz w:val="20"/>
          <w:szCs w:val="20"/>
          <w:lang w:eastAsia="en-GB"/>
        </w:rPr>
        <w:t xml:space="preserve"> Report Health</w:t>
      </w:r>
      <w:r w:rsidRPr="00BB1B43">
        <w:rPr>
          <w:rFonts w:ascii="Times New Roman" w:eastAsia="Times New Roman"/>
          <w:sz w:val="20"/>
          <w:szCs w:val="20"/>
          <w:lang w:eastAsia="en-GB"/>
        </w:rPr>
        <w:t>., 13(2), 69-73., 2009.</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Center for Disease Control and Prevention (1981). </w:t>
      </w:r>
      <w:r w:rsidRPr="00BB1B43">
        <w:rPr>
          <w:rFonts w:ascii="Times New Roman" w:eastAsia="Times New Roman"/>
          <w:sz w:val="20"/>
          <w:szCs w:val="20"/>
          <w:lang w:eastAsia="en-GB"/>
        </w:rPr>
        <w:t>“</w:t>
      </w:r>
      <w:r w:rsidRPr="00BB1B43">
        <w:rPr>
          <w:rFonts w:ascii="Times New Roman" w:eastAsia="Times New Roman"/>
          <w:sz w:val="20"/>
          <w:szCs w:val="20"/>
          <w:lang w:eastAsia="en-GB"/>
        </w:rPr>
        <w:t>Recommendations of the Immunization Practices Advisory Committee (ACIO): Rubella prevention.</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MMWR Morb Mortal Wkly Rep</w:t>
      </w:r>
      <w:r w:rsidRPr="00BB1B43">
        <w:rPr>
          <w:rFonts w:ascii="Times New Roman" w:eastAsia="Times New Roman"/>
          <w:sz w:val="20"/>
          <w:szCs w:val="20"/>
          <w:lang w:eastAsia="en-GB"/>
        </w:rPr>
        <w:t xml:space="preserve">., 30:37-42, 47. </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Healthy People (2010</w:t>
      </w:r>
      <w:r w:rsidRPr="00BB1B43">
        <w:rPr>
          <w:rFonts w:ascii="Times New Roman" w:eastAsia="Times New Roman" w:hAnsi="Times New Roman" w:cs="Times New Roman"/>
          <w:sz w:val="20"/>
          <w:szCs w:val="20"/>
          <w:lang w:eastAsia="en-GB"/>
        </w:rPr>
        <w:t>).</w:t>
      </w:r>
      <w:r w:rsidRPr="00BB1B43">
        <w:rPr>
          <w:rStyle w:val="st"/>
          <w:rFonts w:ascii="Times New Roman" w:hAnsi="Times New Roman" w:cs="Times New Roman"/>
          <w:sz w:val="20"/>
          <w:szCs w:val="20"/>
        </w:rPr>
        <w:t xml:space="preserve">"14: </w:t>
      </w:r>
      <w:r w:rsidRPr="00BB1B43">
        <w:rPr>
          <w:rStyle w:val="Emphasis"/>
          <w:rFonts w:cs="Times New Roman"/>
          <w:sz w:val="20"/>
          <w:szCs w:val="20"/>
        </w:rPr>
        <w:t>Immunization</w:t>
      </w:r>
      <w:r w:rsidRPr="00BB1B43">
        <w:rPr>
          <w:rStyle w:val="st"/>
          <w:rFonts w:ascii="Times New Roman" w:hAnsi="Times New Roman" w:cs="Times New Roman"/>
          <w:sz w:val="20"/>
          <w:szCs w:val="20"/>
        </w:rPr>
        <w:t xml:space="preserve"> and Infectious Diseases," http://</w:t>
      </w:r>
      <w:r w:rsidRPr="00BB1B43">
        <w:rPr>
          <w:rStyle w:val="Emphasis"/>
          <w:rFonts w:cs="Times New Roman"/>
          <w:sz w:val="20"/>
          <w:szCs w:val="20"/>
        </w:rPr>
        <w:t>www.health</w:t>
      </w:r>
      <w:r w:rsidRPr="00BB1B43">
        <w:rPr>
          <w:rStyle w:val="st"/>
          <w:rFonts w:ascii="Times New Roman" w:hAnsi="Times New Roman" w:cs="Times New Roman"/>
          <w:sz w:val="20"/>
          <w:szCs w:val="20"/>
        </w:rPr>
        <w:t>.</w:t>
      </w:r>
      <w:r w:rsidRPr="00BB1B43">
        <w:rPr>
          <w:rStyle w:val="Emphasis"/>
          <w:rFonts w:cs="Times New Roman"/>
          <w:sz w:val="20"/>
          <w:szCs w:val="20"/>
        </w:rPr>
        <w:t>gov</w:t>
      </w:r>
      <w:r w:rsidRPr="00BB1B43">
        <w:rPr>
          <w:rStyle w:val="st"/>
          <w:rFonts w:ascii="Times New Roman" w:hAnsi="Times New Roman" w:cs="Times New Roman"/>
          <w:sz w:val="20"/>
          <w:szCs w:val="20"/>
        </w:rPr>
        <w:t>/</w:t>
      </w:r>
      <w:r w:rsidRPr="00BB1B43">
        <w:rPr>
          <w:rStyle w:val="Emphasis"/>
          <w:rFonts w:cs="Times New Roman"/>
          <w:sz w:val="20"/>
          <w:szCs w:val="20"/>
        </w:rPr>
        <w:t>healthypeople</w:t>
      </w:r>
      <w:r w:rsidRPr="00BB1B43">
        <w:rPr>
          <w:rStyle w:val="st"/>
          <w:rFonts w:ascii="Times New Roman" w:hAnsi="Times New Roman" w:cs="Times New Roman"/>
          <w:sz w:val="20"/>
          <w:szCs w:val="20"/>
        </w:rPr>
        <w:t>/</w:t>
      </w:r>
      <w:r w:rsidRPr="00BB1B43">
        <w:rPr>
          <w:rStyle w:val="Emphasis"/>
          <w:rFonts w:cs="Times New Roman"/>
          <w:sz w:val="20"/>
          <w:szCs w:val="20"/>
        </w:rPr>
        <w:t>Document</w:t>
      </w:r>
      <w:r w:rsidRPr="00BB1B43">
        <w:rPr>
          <w:rStyle w:val="st"/>
          <w:rFonts w:ascii="Times New Roman" w:hAnsi="Times New Roman" w:cs="Times New Roman"/>
          <w:sz w:val="20"/>
          <w:szCs w:val="20"/>
        </w:rPr>
        <w:t>/HTML/</w:t>
      </w:r>
      <w:r w:rsidRPr="00BB1B43">
        <w:rPr>
          <w:rStyle w:val="Emphasis"/>
          <w:rFonts w:cs="Times New Roman"/>
          <w:sz w:val="20"/>
          <w:szCs w:val="20"/>
        </w:rPr>
        <w:t>Volume1</w:t>
      </w:r>
      <w:r w:rsidRPr="00BB1B43">
        <w:rPr>
          <w:rStyle w:val="st"/>
          <w:rFonts w:ascii="Times New Roman" w:hAnsi="Times New Roman" w:cs="Times New Roman"/>
          <w:sz w:val="20"/>
          <w:szCs w:val="20"/>
        </w:rPr>
        <w:t>/14Immunization.</w:t>
      </w:r>
      <w:r w:rsidRPr="00BB1B43">
        <w:rPr>
          <w:rStyle w:val="Emphasis"/>
          <w:rFonts w:cs="Times New Roman"/>
          <w:sz w:val="20"/>
          <w:szCs w:val="20"/>
        </w:rPr>
        <w:t>htm</w:t>
      </w:r>
      <w:r w:rsidRPr="00BB1B43">
        <w:rPr>
          <w:rStyle w:val="st"/>
        </w:rPr>
        <w:t> </w:t>
      </w:r>
      <w:r w:rsidRPr="00BB1B43">
        <w:rPr>
          <w:rFonts w:ascii="Times New Roman" w:eastAsia="Times New Roman"/>
          <w:sz w:val="20"/>
          <w:szCs w:val="20"/>
          <w:lang w:eastAsia="en-GB"/>
        </w:rPr>
        <w:t xml:space="preserve"> </w:t>
      </w:r>
    </w:p>
    <w:p w:rsidR="009421F1" w:rsidRPr="00BB1B43" w:rsidRDefault="009421F1" w:rsidP="009421F1">
      <w:pPr>
        <w:pStyle w:val="ListParagraph"/>
        <w:widowControl/>
        <w:numPr>
          <w:ilvl w:val="0"/>
          <w:numId w:val="20"/>
        </w:numPr>
        <w:spacing w:before="240" w:after="200" w:line="276" w:lineRule="auto"/>
        <w:contextualSpacing/>
        <w:jc w:val="both"/>
        <w:rPr>
          <w:rFonts w:ascii="Times New Roman"/>
          <w:sz w:val="20"/>
          <w:szCs w:val="20"/>
        </w:rPr>
      </w:pPr>
      <w:r w:rsidRPr="00BB1B43">
        <w:rPr>
          <w:rFonts w:ascii="Times New Roman"/>
          <w:sz w:val="20"/>
          <w:szCs w:val="20"/>
        </w:rPr>
        <w:lastRenderedPageBreak/>
        <w:t xml:space="preserve">Blumberg BS. </w:t>
      </w:r>
      <w:r w:rsidRPr="00BB1B43">
        <w:rPr>
          <w:rFonts w:ascii="Times New Roman"/>
          <w:sz w:val="20"/>
          <w:szCs w:val="20"/>
        </w:rPr>
        <w:t>“</w:t>
      </w:r>
      <w:r w:rsidRPr="00BB1B43">
        <w:rPr>
          <w:rFonts w:ascii="Times New Roman"/>
          <w:sz w:val="20"/>
          <w:szCs w:val="20"/>
        </w:rPr>
        <w:t>The discovery of Australian Antigen and its relation to viral hepatitis.</w:t>
      </w:r>
      <w:r w:rsidRPr="00BB1B43">
        <w:rPr>
          <w:rFonts w:ascii="Times New Roman"/>
          <w:sz w:val="20"/>
          <w:szCs w:val="20"/>
        </w:rPr>
        <w:t>”</w:t>
      </w:r>
      <w:r w:rsidRPr="00BB1B43">
        <w:rPr>
          <w:rFonts w:ascii="Times New Roman"/>
          <w:i/>
          <w:sz w:val="20"/>
          <w:szCs w:val="20"/>
        </w:rPr>
        <w:t>Vitro</w:t>
      </w:r>
      <w:r w:rsidRPr="00BB1B43">
        <w:rPr>
          <w:rFonts w:ascii="Times New Roman"/>
          <w:sz w:val="20"/>
          <w:szCs w:val="20"/>
        </w:rPr>
        <w:t>.,7, 223, 1971.</w:t>
      </w:r>
    </w:p>
    <w:p w:rsidR="009421F1" w:rsidRPr="00BB1B43" w:rsidRDefault="009421F1" w:rsidP="009421F1">
      <w:pPr>
        <w:pStyle w:val="ListParagraph"/>
        <w:widowControl/>
        <w:numPr>
          <w:ilvl w:val="0"/>
          <w:numId w:val="20"/>
        </w:numPr>
        <w:spacing w:after="200" w:line="276" w:lineRule="auto"/>
        <w:contextualSpacing/>
        <w:jc w:val="both"/>
        <w:rPr>
          <w:rFonts w:ascii="Times New Roman"/>
          <w:sz w:val="20"/>
          <w:szCs w:val="20"/>
        </w:rPr>
      </w:pPr>
      <w:r w:rsidRPr="00BB1B43">
        <w:rPr>
          <w:rFonts w:ascii="Times New Roman"/>
          <w:sz w:val="20"/>
          <w:szCs w:val="20"/>
        </w:rPr>
        <w:t xml:space="preserve">Schmidt, E. and Schmidt F.W. </w:t>
      </w:r>
      <w:r w:rsidRPr="00BB1B43">
        <w:rPr>
          <w:rFonts w:ascii="Times New Roman"/>
          <w:sz w:val="20"/>
          <w:szCs w:val="20"/>
        </w:rPr>
        <w:t>“</w:t>
      </w:r>
      <w:r w:rsidRPr="00BB1B43">
        <w:rPr>
          <w:rFonts w:ascii="Times New Roman"/>
          <w:sz w:val="20"/>
          <w:szCs w:val="20"/>
        </w:rPr>
        <w:t>Enzyme.</w:t>
      </w:r>
      <w:r w:rsidRPr="00BB1B43">
        <w:rPr>
          <w:rFonts w:ascii="Times New Roman"/>
          <w:sz w:val="20"/>
          <w:szCs w:val="20"/>
        </w:rPr>
        <w:t>”</w:t>
      </w:r>
      <w:r w:rsidRPr="00BB1B43">
        <w:rPr>
          <w:rFonts w:ascii="Times New Roman"/>
          <w:sz w:val="20"/>
          <w:szCs w:val="20"/>
        </w:rPr>
        <w:t xml:space="preserve"> </w:t>
      </w:r>
      <w:r w:rsidRPr="00BB1B43">
        <w:rPr>
          <w:rFonts w:ascii="Times New Roman"/>
          <w:i/>
          <w:sz w:val="20"/>
          <w:szCs w:val="20"/>
        </w:rPr>
        <w:t xml:space="preserve">Biol Clin </w:t>
      </w:r>
      <w:r w:rsidRPr="00BB1B43">
        <w:rPr>
          <w:rFonts w:ascii="Times New Roman"/>
          <w:sz w:val="20"/>
          <w:szCs w:val="20"/>
        </w:rPr>
        <w:t xml:space="preserve">3: 1, 1963. </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Reitman S and Frankel S. (1957) </w:t>
      </w:r>
      <w:r w:rsidRPr="00BB1B43">
        <w:rPr>
          <w:rFonts w:ascii="Times New Roman" w:eastAsia="Times New Roman"/>
          <w:i/>
          <w:sz w:val="20"/>
          <w:szCs w:val="20"/>
          <w:lang w:eastAsia="en-GB"/>
        </w:rPr>
        <w:t>Amer J</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Clin Path</w:t>
      </w:r>
      <w:r w:rsidRPr="00BB1B43">
        <w:rPr>
          <w:rFonts w:ascii="Times New Roman" w:eastAsia="Times New Roman"/>
          <w:sz w:val="20"/>
          <w:szCs w:val="20"/>
          <w:lang w:eastAsia="en-GB"/>
        </w:rPr>
        <w:t>., (lab manual uk) 28, 56, In Randox laboratories Ltd,. www.randox.com .</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sz w:val="20"/>
          <w:szCs w:val="20"/>
        </w:rPr>
        <w:t xml:space="preserve">Gravell M, Dorcett P.H., Gutenson O, Ley A.C. </w:t>
      </w:r>
      <w:r w:rsidRPr="00BB1B43">
        <w:rPr>
          <w:rFonts w:ascii="Times New Roman"/>
          <w:sz w:val="20"/>
          <w:szCs w:val="20"/>
        </w:rPr>
        <w:t>“</w:t>
      </w:r>
      <w:r w:rsidRPr="00BB1B43">
        <w:rPr>
          <w:rFonts w:ascii="Times New Roman"/>
          <w:sz w:val="20"/>
          <w:szCs w:val="20"/>
        </w:rPr>
        <w:t xml:space="preserve">Detection  of Rubella virua antibody by </w:t>
      </w:r>
    </w:p>
    <w:p w:rsidR="009421F1" w:rsidRPr="00BB1B43" w:rsidRDefault="009421F1" w:rsidP="009421F1">
      <w:pPr>
        <w:pStyle w:val="ListParagraph"/>
        <w:ind w:firstLine="720"/>
        <w:jc w:val="both"/>
        <w:rPr>
          <w:rFonts w:ascii="Times New Roman"/>
          <w:sz w:val="20"/>
          <w:szCs w:val="20"/>
        </w:rPr>
      </w:pPr>
      <w:r w:rsidRPr="00BB1B43">
        <w:rPr>
          <w:rFonts w:ascii="Times New Roman"/>
          <w:sz w:val="20"/>
          <w:szCs w:val="20"/>
        </w:rPr>
        <w:t>enzyme Immunoassy</w:t>
      </w:r>
      <w:r w:rsidRPr="00BB1B43">
        <w:rPr>
          <w:rFonts w:ascii="Times New Roman"/>
          <w:i/>
          <w:sz w:val="20"/>
          <w:szCs w:val="20"/>
        </w:rPr>
        <w:t>.</w:t>
      </w:r>
      <w:r w:rsidRPr="00BB1B43">
        <w:rPr>
          <w:rFonts w:ascii="Times New Roman"/>
          <w:i/>
          <w:sz w:val="20"/>
          <w:szCs w:val="20"/>
        </w:rPr>
        <w:t>”</w:t>
      </w:r>
      <w:r w:rsidRPr="00BB1B43">
        <w:rPr>
          <w:rFonts w:ascii="Times New Roman"/>
          <w:i/>
          <w:sz w:val="20"/>
          <w:szCs w:val="20"/>
        </w:rPr>
        <w:t xml:space="preserve"> J. Infect. Dis</w:t>
      </w:r>
      <w:r w:rsidRPr="00BB1B43">
        <w:rPr>
          <w:rFonts w:ascii="Times New Roman"/>
          <w:sz w:val="20"/>
          <w:szCs w:val="20"/>
        </w:rPr>
        <w:t>. 136, 300, 1997.</w:t>
      </w:r>
      <w:r w:rsidRPr="00BB1B43">
        <w:rPr>
          <w:rFonts w:ascii="Times New Roman"/>
          <w:sz w:val="20"/>
          <w:szCs w:val="20"/>
        </w:rPr>
        <w:tab/>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 Unke C.J., Ogba O. Inyama P.W., Anyanwu G.I., Njoku M.O and Idoku J.H. </w:t>
      </w:r>
      <w:r w:rsidRPr="00BB1B43">
        <w:rPr>
          <w:rFonts w:ascii="Times New Roman" w:eastAsia="Times New Roman"/>
          <w:sz w:val="20"/>
          <w:szCs w:val="20"/>
          <w:lang w:eastAsia="en-GB"/>
        </w:rPr>
        <w:t>“</w:t>
      </w:r>
      <w:r w:rsidRPr="00BB1B43">
        <w:rPr>
          <w:rFonts w:ascii="Times New Roman" w:eastAsia="Times New Roman"/>
          <w:sz w:val="20"/>
          <w:szCs w:val="20"/>
          <w:lang w:eastAsia="en-GB"/>
        </w:rPr>
        <w:t>Prevalence of Hepatitis B Surface Antigen among Blood Donors and Human Immunodeficiency Virus Infected Patients in Jos Nigeria.</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Med Inst Oswalde Cruz</w:t>
      </w:r>
      <w:r w:rsidRPr="00BB1B43">
        <w:rPr>
          <w:rFonts w:ascii="Times New Roman" w:eastAsia="Times New Roman"/>
          <w:sz w:val="20"/>
          <w:szCs w:val="20"/>
          <w:lang w:eastAsia="en-GB"/>
        </w:rPr>
        <w:t xml:space="preserve">., 100: 13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6, 2005. </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Kiire C.F.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The Epidemiology and Prophylaxis of Hepatitis B sub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Saharan Africa: A Review from Tropical and Subtropical Africa.</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Gut</w:t>
      </w:r>
      <w:r w:rsidRPr="00BB1B43">
        <w:rPr>
          <w:rFonts w:ascii="Times New Roman" w:eastAsia="Times New Roman"/>
          <w:sz w:val="20"/>
          <w:szCs w:val="20"/>
          <w:lang w:eastAsia="en-GB"/>
        </w:rPr>
        <w:t xml:space="preserve">., 38, 5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12, 1996.</w:t>
      </w:r>
    </w:p>
    <w:p w:rsidR="009421F1" w:rsidRPr="00BB1B43" w:rsidRDefault="009421F1" w:rsidP="009421F1">
      <w:pPr>
        <w:pStyle w:val="ListParagraph"/>
        <w:widowControl/>
        <w:numPr>
          <w:ilvl w:val="0"/>
          <w:numId w:val="20"/>
        </w:numPr>
        <w:spacing w:after="200" w:line="276" w:lineRule="auto"/>
        <w:contextualSpacing/>
        <w:jc w:val="both"/>
        <w:rPr>
          <w:rFonts w:ascii="Times New Roman"/>
          <w:sz w:val="20"/>
          <w:szCs w:val="20"/>
        </w:rPr>
      </w:pPr>
      <w:r w:rsidRPr="00BB1B43">
        <w:rPr>
          <w:rFonts w:ascii="Times New Roman"/>
          <w:sz w:val="20"/>
          <w:szCs w:val="20"/>
        </w:rPr>
        <w:t xml:space="preserve">Obi R.K., Umeh S.C., Ourede O.H., Iroagba I.I. </w:t>
      </w:r>
      <w:r w:rsidRPr="00BB1B43">
        <w:rPr>
          <w:rFonts w:ascii="Times New Roman"/>
          <w:sz w:val="20"/>
          <w:szCs w:val="20"/>
        </w:rPr>
        <w:t>“</w:t>
      </w:r>
      <w:r w:rsidRPr="00BB1B43">
        <w:rPr>
          <w:rFonts w:ascii="Times New Roman"/>
          <w:sz w:val="20"/>
          <w:szCs w:val="20"/>
        </w:rPr>
        <w:t>Prevalence of Hepatitis B non Infection among Pregnant Women in an Antenatal Chronic in Pat Harcourt, Nigeria.</w:t>
      </w:r>
      <w:r w:rsidRPr="00BB1B43">
        <w:rPr>
          <w:rFonts w:ascii="Times New Roman"/>
          <w:sz w:val="20"/>
          <w:szCs w:val="20"/>
        </w:rPr>
        <w:t>”</w:t>
      </w:r>
      <w:r w:rsidRPr="00BB1B43">
        <w:rPr>
          <w:rFonts w:ascii="Times New Roman"/>
          <w:sz w:val="20"/>
          <w:szCs w:val="20"/>
        </w:rPr>
        <w:t xml:space="preserve"> </w:t>
      </w:r>
      <w:r w:rsidRPr="00BB1B43">
        <w:rPr>
          <w:rFonts w:ascii="Times New Roman"/>
          <w:i/>
          <w:sz w:val="20"/>
          <w:szCs w:val="20"/>
        </w:rPr>
        <w:t>Afr J. Clin Exp Micro</w:t>
      </w:r>
      <w:r w:rsidRPr="00BB1B43">
        <w:rPr>
          <w:rFonts w:ascii="Times New Roman"/>
          <w:sz w:val="20"/>
          <w:szCs w:val="20"/>
        </w:rPr>
        <w:t xml:space="preserve">, 7, 78 </w:t>
      </w:r>
      <w:r w:rsidRPr="00BB1B43">
        <w:rPr>
          <w:rFonts w:ascii="Times New Roman"/>
          <w:sz w:val="20"/>
          <w:szCs w:val="20"/>
        </w:rPr>
        <w:t>–</w:t>
      </w:r>
      <w:r w:rsidRPr="00BB1B43">
        <w:rPr>
          <w:rFonts w:ascii="Times New Roman"/>
          <w:sz w:val="20"/>
          <w:szCs w:val="20"/>
        </w:rPr>
        <w:t xml:space="preserve"> 82, 2006.</w:t>
      </w:r>
    </w:p>
    <w:p w:rsidR="009421F1" w:rsidRPr="00BB1B43" w:rsidRDefault="009421F1" w:rsidP="009421F1">
      <w:pPr>
        <w:pStyle w:val="ListParagraph"/>
        <w:widowControl/>
        <w:numPr>
          <w:ilvl w:val="0"/>
          <w:numId w:val="20"/>
        </w:numPr>
        <w:spacing w:after="200" w:line="276" w:lineRule="auto"/>
        <w:contextualSpacing/>
        <w:jc w:val="both"/>
        <w:rPr>
          <w:rFonts w:ascii="Times New Roman"/>
          <w:sz w:val="20"/>
          <w:szCs w:val="20"/>
          <w:u w:val="single"/>
        </w:rPr>
      </w:pPr>
      <w:r w:rsidRPr="00BB1B43">
        <w:rPr>
          <w:rFonts w:ascii="Times New Roman"/>
          <w:sz w:val="20"/>
          <w:szCs w:val="20"/>
        </w:rPr>
        <w:t xml:space="preserve">Christy N.E., Chdi U.I., Gilbert O.N., Denis E.A., Matthias I.A., Herbert U.O, et al., 2004. </w:t>
      </w:r>
      <w:r w:rsidRPr="00BB1B43">
        <w:rPr>
          <w:rFonts w:ascii="Times New Roman"/>
          <w:sz w:val="20"/>
          <w:szCs w:val="20"/>
        </w:rPr>
        <w:t>“</w:t>
      </w:r>
      <w:r w:rsidRPr="00BB1B43">
        <w:rPr>
          <w:rFonts w:ascii="Times New Roman"/>
          <w:sz w:val="20"/>
          <w:szCs w:val="20"/>
        </w:rPr>
        <w:t>The seroprevelence of Hepatitis B surface antigen and HIV among pregnant women in Annambra Statr, Nigeria.Shiraz.</w:t>
      </w:r>
      <w:r w:rsidRPr="00BB1B43">
        <w:rPr>
          <w:rFonts w:ascii="Times New Roman"/>
          <w:sz w:val="20"/>
          <w:szCs w:val="20"/>
        </w:rPr>
        <w:t>”</w:t>
      </w:r>
      <w:r w:rsidRPr="00BB1B43">
        <w:rPr>
          <w:rFonts w:ascii="Times New Roman"/>
          <w:sz w:val="20"/>
          <w:szCs w:val="20"/>
        </w:rPr>
        <w:t xml:space="preserve"> </w:t>
      </w:r>
      <w:r w:rsidRPr="00BB1B43">
        <w:rPr>
          <w:rFonts w:ascii="Times New Roman"/>
          <w:i/>
          <w:sz w:val="20"/>
          <w:szCs w:val="20"/>
        </w:rPr>
        <w:t>E-Medical Journal</w:t>
      </w:r>
      <w:r w:rsidRPr="00BB1B43">
        <w:rPr>
          <w:rFonts w:ascii="Times New Roman"/>
          <w:sz w:val="20"/>
          <w:szCs w:val="20"/>
        </w:rPr>
        <w:t xml:space="preserve">, 5(2):april. </w:t>
      </w:r>
      <w:hyperlink r:id="rId8" w:history="1">
        <w:r w:rsidRPr="00BB1B43">
          <w:rPr>
            <w:rStyle w:val="Hyperlink"/>
            <w:rFonts w:ascii="Times New Roman"/>
            <w:sz w:val="20"/>
            <w:szCs w:val="20"/>
          </w:rPr>
          <w:t>www.semj.sums.ac.ir/vol5aprl2004htm</w:t>
        </w:r>
      </w:hyperlink>
      <w:r w:rsidRPr="00BB1B43">
        <w:rPr>
          <w:rFonts w:ascii="Times New Roman"/>
          <w:sz w:val="20"/>
          <w:szCs w:val="20"/>
          <w:u w:val="single"/>
        </w:rPr>
        <w:t>.</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Adesina O, Oladokun A, Akinyemi O, Adedokun B, awoledun O, Odiabo  G. et al.,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HIV and HBV coinfection in pregnancy at University Collage Hospital Ibadan.</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African Journal of Medicine and Medical Sciences,</w:t>
      </w:r>
      <w:r w:rsidRPr="00BB1B43">
        <w:rPr>
          <w:rFonts w:ascii="Times New Roman" w:eastAsia="Times New Roman"/>
          <w:sz w:val="20"/>
          <w:szCs w:val="20"/>
          <w:lang w:eastAsia="en-GB"/>
        </w:rPr>
        <w:t xml:space="preserve"> 9 (4), 305-310, 2010.</w:t>
      </w:r>
    </w:p>
    <w:p w:rsidR="009421F1" w:rsidRPr="00BB1B43" w:rsidRDefault="009421F1" w:rsidP="009421F1">
      <w:pPr>
        <w:pStyle w:val="ListParagraph"/>
        <w:widowControl/>
        <w:numPr>
          <w:ilvl w:val="0"/>
          <w:numId w:val="20"/>
        </w:numPr>
        <w:spacing w:after="200" w:line="276" w:lineRule="auto"/>
        <w:contextualSpacing/>
        <w:jc w:val="both"/>
        <w:rPr>
          <w:rFonts w:ascii="Times New Roman"/>
          <w:sz w:val="20"/>
          <w:szCs w:val="20"/>
        </w:rPr>
      </w:pPr>
      <w:r w:rsidRPr="00BB1B43">
        <w:rPr>
          <w:rFonts w:ascii="Times New Roman"/>
          <w:sz w:val="20"/>
          <w:szCs w:val="20"/>
        </w:rPr>
        <w:t xml:space="preserve">Luka S.A., Ibrahim M.B., Iliya S.N. </w:t>
      </w:r>
      <w:r w:rsidRPr="00BB1B43">
        <w:rPr>
          <w:rFonts w:ascii="Times New Roman"/>
          <w:sz w:val="20"/>
          <w:szCs w:val="20"/>
        </w:rPr>
        <w:t>“</w:t>
      </w:r>
      <w:r w:rsidRPr="00BB1B43">
        <w:rPr>
          <w:rFonts w:ascii="Times New Roman"/>
          <w:sz w:val="20"/>
          <w:szCs w:val="20"/>
        </w:rPr>
        <w:t>Seroprevalence of HBV Surface antigen among pregnant women attending ABUTH Zaria, Nigeria.</w:t>
      </w:r>
      <w:r w:rsidRPr="00BB1B43">
        <w:rPr>
          <w:rFonts w:ascii="Times New Roman"/>
          <w:sz w:val="20"/>
          <w:szCs w:val="20"/>
        </w:rPr>
        <w:t>”</w:t>
      </w:r>
      <w:r w:rsidRPr="00BB1B43">
        <w:rPr>
          <w:rFonts w:ascii="Times New Roman"/>
          <w:sz w:val="20"/>
          <w:szCs w:val="20"/>
        </w:rPr>
        <w:t xml:space="preserve"> </w:t>
      </w:r>
      <w:r w:rsidRPr="00BB1B43">
        <w:rPr>
          <w:rFonts w:ascii="Times New Roman"/>
          <w:i/>
          <w:sz w:val="20"/>
          <w:szCs w:val="20"/>
        </w:rPr>
        <w:t>Nigerian Journal of Parasitology</w:t>
      </w:r>
      <w:r w:rsidRPr="00BB1B43">
        <w:rPr>
          <w:rFonts w:ascii="Times New Roman"/>
          <w:sz w:val="20"/>
          <w:szCs w:val="20"/>
        </w:rPr>
        <w:t>, 29 (1), 2008.</w:t>
      </w:r>
    </w:p>
    <w:p w:rsidR="009421F1" w:rsidRPr="00BB1B43" w:rsidRDefault="009421F1" w:rsidP="009421F1">
      <w:pPr>
        <w:pStyle w:val="ListParagraph"/>
        <w:widowControl/>
        <w:numPr>
          <w:ilvl w:val="0"/>
          <w:numId w:val="20"/>
        </w:numPr>
        <w:spacing w:after="200" w:line="276" w:lineRule="auto"/>
        <w:contextualSpacing/>
        <w:jc w:val="both"/>
        <w:rPr>
          <w:rFonts w:ascii="Times New Roman"/>
          <w:sz w:val="20"/>
          <w:szCs w:val="20"/>
        </w:rPr>
      </w:pPr>
      <w:r w:rsidRPr="00BB1B43">
        <w:rPr>
          <w:rFonts w:ascii="Times New Roman"/>
          <w:sz w:val="20"/>
          <w:szCs w:val="20"/>
        </w:rPr>
        <w:t xml:space="preserve">Kabiru A.R., Oluwarotimi I.A., Adeyeni A.A., Olufemi M.O., Temitope O.O. </w:t>
      </w:r>
      <w:r w:rsidRPr="00BB1B43">
        <w:rPr>
          <w:rFonts w:ascii="Times New Roman"/>
          <w:sz w:val="20"/>
          <w:szCs w:val="20"/>
        </w:rPr>
        <w:t>“</w:t>
      </w:r>
      <w:r w:rsidRPr="00BB1B43">
        <w:rPr>
          <w:rFonts w:ascii="Times New Roman"/>
          <w:sz w:val="20"/>
          <w:szCs w:val="20"/>
        </w:rPr>
        <w:t>Risk factors for HBV infection among pregnant women in Lagos Nigeria.</w:t>
      </w:r>
      <w:r w:rsidRPr="00BB1B43">
        <w:rPr>
          <w:rFonts w:ascii="Times New Roman"/>
          <w:sz w:val="20"/>
          <w:szCs w:val="20"/>
        </w:rPr>
        <w:t>”</w:t>
      </w:r>
      <w:r w:rsidRPr="00BB1B43">
        <w:rPr>
          <w:rFonts w:ascii="Times New Roman"/>
          <w:sz w:val="20"/>
          <w:szCs w:val="20"/>
        </w:rPr>
        <w:t xml:space="preserve"> </w:t>
      </w:r>
      <w:r w:rsidRPr="00BB1B43">
        <w:rPr>
          <w:rFonts w:ascii="Times New Roman"/>
          <w:i/>
          <w:sz w:val="20"/>
          <w:szCs w:val="20"/>
        </w:rPr>
        <w:t>Aecta. Obstetricia et Gynecologica</w:t>
      </w:r>
      <w:r w:rsidRPr="00BB1B43">
        <w:rPr>
          <w:rFonts w:ascii="Times New Roman"/>
          <w:sz w:val="20"/>
          <w:szCs w:val="20"/>
        </w:rPr>
        <w:t xml:space="preserve">, 89(8), 1024 </w:t>
      </w:r>
      <w:r w:rsidRPr="00BB1B43">
        <w:rPr>
          <w:rFonts w:ascii="Times New Roman"/>
          <w:sz w:val="20"/>
          <w:szCs w:val="20"/>
        </w:rPr>
        <w:t>–</w:t>
      </w:r>
      <w:r w:rsidRPr="00BB1B43">
        <w:rPr>
          <w:rFonts w:ascii="Times New Roman"/>
          <w:sz w:val="20"/>
          <w:szCs w:val="20"/>
        </w:rPr>
        <w:t xml:space="preserve"> 1028, 2010.</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Wurie I.M.,Wurie A.T., Gevao S.M. </w:t>
      </w:r>
      <w:r w:rsidRPr="00BB1B43">
        <w:rPr>
          <w:rFonts w:ascii="Times New Roman" w:eastAsia="Times New Roman"/>
          <w:sz w:val="20"/>
          <w:szCs w:val="20"/>
          <w:lang w:eastAsia="en-GB"/>
        </w:rPr>
        <w:t>“</w:t>
      </w:r>
      <w:r w:rsidRPr="00BB1B43">
        <w:rPr>
          <w:rFonts w:ascii="Times New Roman" w:eastAsia="Times New Roman"/>
          <w:sz w:val="20"/>
          <w:szCs w:val="20"/>
          <w:lang w:eastAsia="en-GB"/>
        </w:rPr>
        <w:t>Prevelence of HBV among middle to high socioeconomic antenartal population in Serralone.</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West African Journal of Medicine</w:t>
      </w:r>
      <w:r w:rsidRPr="00BB1B43">
        <w:rPr>
          <w:rFonts w:ascii="Times New Roman" w:eastAsia="Times New Roman"/>
          <w:sz w:val="20"/>
          <w:szCs w:val="20"/>
          <w:lang w:eastAsia="en-GB"/>
        </w:rPr>
        <w:t>, 24(1):18-20, 2005.</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Sahaf  F, Tanomand A., Montazan H and Sany A.A.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Sero-Prevalence of Hepatitis C. Hepatitis B and HIV and Co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infection among Pregnant Women.</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Iron, Res J. Med Sci</w:t>
      </w:r>
      <w:r w:rsidRPr="00BB1B43">
        <w:rPr>
          <w:rFonts w:ascii="Times New Roman" w:eastAsia="Times New Roman"/>
          <w:sz w:val="20"/>
          <w:szCs w:val="20"/>
          <w:lang w:eastAsia="en-GB"/>
        </w:rPr>
        <w:t xml:space="preserve">., 1, 138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41, 2007.</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Todd C.S., Ahmadzai M., Atiqzai F., Miller S., Smith J.M and Ghazai S.A. </w:t>
      </w:r>
      <w:r w:rsidRPr="00BB1B43">
        <w:rPr>
          <w:rFonts w:ascii="Times New Roman" w:eastAsia="Times New Roman"/>
          <w:sz w:val="20"/>
          <w:szCs w:val="20"/>
          <w:lang w:eastAsia="en-GB"/>
        </w:rPr>
        <w:t>“</w:t>
      </w:r>
      <w:r w:rsidRPr="00BB1B43">
        <w:rPr>
          <w:rFonts w:ascii="Times New Roman" w:eastAsia="Times New Roman"/>
          <w:sz w:val="20"/>
          <w:szCs w:val="20"/>
          <w:lang w:eastAsia="en-GB"/>
        </w:rPr>
        <w:t>Sero-Prevalence and Correlates of HIV, Syphilis, and Hepatitis B and C Virus among Intrapartum Patients in Kabul, Afghanistan.</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BMC in Fect Dis</w:t>
      </w:r>
      <w:r w:rsidRPr="00BB1B43">
        <w:rPr>
          <w:rFonts w:ascii="Times New Roman" w:eastAsia="Times New Roman"/>
          <w:sz w:val="20"/>
          <w:szCs w:val="20"/>
          <w:lang w:eastAsia="en-GB"/>
        </w:rPr>
        <w:t>, 1, 119, 2008.</w:t>
      </w:r>
    </w:p>
    <w:p w:rsidR="009421F1" w:rsidRPr="00BB1B43" w:rsidRDefault="009421F1" w:rsidP="009421F1">
      <w:pPr>
        <w:pStyle w:val="ListParagraph"/>
        <w:widowControl/>
        <w:numPr>
          <w:ilvl w:val="0"/>
          <w:numId w:val="20"/>
        </w:numPr>
        <w:spacing w:after="200" w:line="276" w:lineRule="auto"/>
        <w:contextualSpacing/>
        <w:jc w:val="both"/>
        <w:rPr>
          <w:rFonts w:ascii="Times New Roman"/>
          <w:sz w:val="20"/>
          <w:szCs w:val="20"/>
        </w:rPr>
      </w:pPr>
      <w:r w:rsidRPr="00BB1B43">
        <w:rPr>
          <w:rFonts w:ascii="Times New Roman"/>
          <w:sz w:val="20"/>
          <w:szCs w:val="20"/>
        </w:rPr>
        <w:t xml:space="preserve">Mbaawuaga E.M., Enenebeaku M.N., Okpi J.A. </w:t>
      </w:r>
      <w:r w:rsidRPr="00BB1B43">
        <w:rPr>
          <w:rFonts w:ascii="Times New Roman"/>
          <w:sz w:val="20"/>
          <w:szCs w:val="20"/>
        </w:rPr>
        <w:t>“</w:t>
      </w:r>
      <w:r w:rsidRPr="00BB1B43">
        <w:rPr>
          <w:rFonts w:ascii="Times New Roman"/>
          <w:sz w:val="20"/>
          <w:szCs w:val="20"/>
        </w:rPr>
        <w:t>Hepatitis  B virus  infection  among pregnant women in Makurdi, Nigeria.</w:t>
      </w:r>
      <w:r w:rsidRPr="00BB1B43">
        <w:rPr>
          <w:rFonts w:ascii="Times New Roman"/>
          <w:sz w:val="20"/>
          <w:szCs w:val="20"/>
        </w:rPr>
        <w:t>”</w:t>
      </w:r>
      <w:r w:rsidRPr="00BB1B43">
        <w:rPr>
          <w:rFonts w:ascii="Times New Roman"/>
          <w:sz w:val="20"/>
          <w:szCs w:val="20"/>
        </w:rPr>
        <w:t xml:space="preserve"> </w:t>
      </w:r>
      <w:r w:rsidRPr="00BB1B43">
        <w:rPr>
          <w:rFonts w:ascii="Times New Roman"/>
          <w:i/>
          <w:sz w:val="20"/>
          <w:szCs w:val="20"/>
        </w:rPr>
        <w:t>African Journal of Biomedical Research</w:t>
      </w:r>
      <w:r w:rsidRPr="00BB1B43">
        <w:rPr>
          <w:rFonts w:ascii="Times New Roman"/>
          <w:sz w:val="20"/>
          <w:szCs w:val="20"/>
        </w:rPr>
        <w:t>, 11(2), 2008.</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Harry T.O., Bajani M.D and Moses A.E. </w:t>
      </w:r>
      <w:r w:rsidRPr="00BB1B43">
        <w:rPr>
          <w:rFonts w:ascii="Times New Roman" w:eastAsia="Times New Roman"/>
          <w:sz w:val="20"/>
          <w:szCs w:val="20"/>
          <w:lang w:eastAsia="en-GB"/>
        </w:rPr>
        <w:t>“</w:t>
      </w:r>
      <w:r w:rsidRPr="00BB1B43">
        <w:rPr>
          <w:rFonts w:ascii="Times New Roman" w:eastAsia="Times New Roman"/>
          <w:sz w:val="20"/>
          <w:szCs w:val="20"/>
          <w:lang w:eastAsia="en-GB"/>
        </w:rPr>
        <w:t>Hepatitis B Virus Infection among Blood Donors and Pregnant Women in Makurdi, Nigeria.</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East AF Med J</w:t>
      </w:r>
      <w:r w:rsidRPr="00BB1B43">
        <w:rPr>
          <w:rFonts w:ascii="Times New Roman" w:eastAsia="Times New Roman"/>
          <w:sz w:val="20"/>
          <w:szCs w:val="20"/>
          <w:lang w:eastAsia="en-GB"/>
        </w:rPr>
        <w:t xml:space="preserve">, 71, 596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7, 1994.</w:t>
      </w:r>
    </w:p>
    <w:p w:rsidR="009421F1" w:rsidRPr="00BB1B43" w:rsidRDefault="009421F1" w:rsidP="009421F1">
      <w:pPr>
        <w:pStyle w:val="ListParagraph"/>
        <w:widowControl/>
        <w:numPr>
          <w:ilvl w:val="0"/>
          <w:numId w:val="20"/>
        </w:numPr>
        <w:spacing w:after="200" w:line="276" w:lineRule="auto"/>
        <w:contextualSpacing/>
        <w:jc w:val="both"/>
        <w:rPr>
          <w:rFonts w:ascii="Times New Roman"/>
          <w:sz w:val="20"/>
          <w:szCs w:val="20"/>
        </w:rPr>
      </w:pPr>
      <w:r w:rsidRPr="00BB1B43">
        <w:rPr>
          <w:rFonts w:ascii="Times New Roman"/>
          <w:sz w:val="20"/>
          <w:szCs w:val="20"/>
        </w:rPr>
        <w:t xml:space="preserve">Ndams I.S., Joshua I.A., Luka S.A., Sadiq H.O. </w:t>
      </w:r>
      <w:r w:rsidRPr="00BB1B43">
        <w:rPr>
          <w:rFonts w:ascii="Times New Roman"/>
          <w:sz w:val="20"/>
          <w:szCs w:val="20"/>
        </w:rPr>
        <w:t>“</w:t>
      </w:r>
      <w:r w:rsidRPr="00BB1B43">
        <w:rPr>
          <w:rFonts w:ascii="Times New Roman"/>
          <w:sz w:val="20"/>
          <w:szCs w:val="20"/>
        </w:rPr>
        <w:t>Epidemiology of HBV in Mina, Nigeria.</w:t>
      </w:r>
      <w:r w:rsidRPr="00BB1B43">
        <w:rPr>
          <w:rFonts w:ascii="Times New Roman"/>
          <w:sz w:val="20"/>
          <w:szCs w:val="20"/>
        </w:rPr>
        <w:t>”</w:t>
      </w:r>
      <w:r w:rsidRPr="00BB1B43">
        <w:rPr>
          <w:rFonts w:ascii="Times New Roman"/>
          <w:sz w:val="20"/>
          <w:szCs w:val="20"/>
        </w:rPr>
        <w:t xml:space="preserve"> </w:t>
      </w:r>
      <w:r w:rsidRPr="00BB1B43">
        <w:rPr>
          <w:rFonts w:ascii="Times New Roman"/>
          <w:i/>
          <w:sz w:val="20"/>
          <w:szCs w:val="20"/>
        </w:rPr>
        <w:t>Science World Journal</w:t>
      </w:r>
      <w:r w:rsidRPr="00BB1B43">
        <w:rPr>
          <w:rFonts w:ascii="Times New Roman"/>
          <w:sz w:val="20"/>
          <w:szCs w:val="20"/>
        </w:rPr>
        <w:t xml:space="preserve">, 3(3), 5 </w:t>
      </w:r>
      <w:r w:rsidRPr="00BB1B43">
        <w:rPr>
          <w:rFonts w:ascii="Times New Roman"/>
          <w:sz w:val="20"/>
          <w:szCs w:val="20"/>
        </w:rPr>
        <w:t>–</w:t>
      </w:r>
      <w:r w:rsidRPr="00BB1B43">
        <w:rPr>
          <w:rFonts w:ascii="Times New Roman"/>
          <w:sz w:val="20"/>
          <w:szCs w:val="20"/>
        </w:rPr>
        <w:t xml:space="preserve"> 8, 2008. </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Ose U., Moses A., Favour O., Ehigha E., Omorogbe Z. </w:t>
      </w:r>
      <w:r w:rsidRPr="00BB1B43">
        <w:rPr>
          <w:rFonts w:ascii="Times New Roman" w:eastAsia="Times New Roman"/>
          <w:sz w:val="20"/>
          <w:szCs w:val="20"/>
          <w:lang w:eastAsia="en-GB"/>
        </w:rPr>
        <w:t>“</w:t>
      </w:r>
      <w:r w:rsidRPr="00BB1B43">
        <w:rPr>
          <w:rFonts w:ascii="Times New Roman" w:eastAsia="Times New Roman"/>
          <w:sz w:val="20"/>
          <w:szCs w:val="20"/>
          <w:lang w:eastAsia="en-GB"/>
        </w:rPr>
        <w:t>The prevalence of HBV and Hepatitis C infections among pregnant women.</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North American Journal of Medical Sciences</w:t>
      </w:r>
      <w:r w:rsidRPr="00BB1B43">
        <w:rPr>
          <w:rFonts w:ascii="Times New Roman" w:eastAsia="Times New Roman"/>
          <w:sz w:val="20"/>
          <w:szCs w:val="20"/>
          <w:lang w:eastAsia="en-GB"/>
        </w:rPr>
        <w:t xml:space="preserve">, 3(5), 238-241, 2011.  </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Jombo G.T., Egah D.Z and Banwat E.B. </w:t>
      </w:r>
      <w:r w:rsidRPr="00BB1B43">
        <w:rPr>
          <w:rFonts w:ascii="Times New Roman" w:eastAsia="Times New Roman"/>
          <w:sz w:val="20"/>
          <w:szCs w:val="20"/>
          <w:lang w:eastAsia="en-GB"/>
        </w:rPr>
        <w:t>“</w:t>
      </w:r>
      <w:r w:rsidRPr="00BB1B43">
        <w:rPr>
          <w:rFonts w:ascii="Times New Roman" w:eastAsia="Times New Roman"/>
          <w:sz w:val="20"/>
          <w:szCs w:val="20"/>
          <w:lang w:eastAsia="en-GB"/>
        </w:rPr>
        <w:t>Hepatitis B Virus Infection in a Viral Settlement of Northern Nigeria.</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Niger J. Med</w:t>
      </w:r>
      <w:r w:rsidRPr="00BB1B43">
        <w:rPr>
          <w:rFonts w:ascii="Times New Roman" w:eastAsia="Times New Roman"/>
          <w:sz w:val="20"/>
          <w:szCs w:val="20"/>
          <w:lang w:eastAsia="en-GB"/>
        </w:rPr>
        <w:t>., 14, 425 -8,</w:t>
      </w:r>
      <w:r w:rsidRPr="00BB1B43">
        <w:rPr>
          <w:rFonts w:ascii="Times New Roman" w:eastAsia="Times New Roman"/>
          <w:sz w:val="20"/>
          <w:szCs w:val="20"/>
          <w:lang w:eastAsia="en-GB"/>
        </w:rPr>
        <w:t> </w:t>
      </w:r>
      <w:r w:rsidRPr="00BB1B43">
        <w:rPr>
          <w:rFonts w:ascii="Times New Roman" w:eastAsia="Times New Roman"/>
          <w:sz w:val="20"/>
          <w:szCs w:val="20"/>
          <w:lang w:eastAsia="en-GB"/>
        </w:rPr>
        <w:t>2005.</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Roingeared P., Dioup A., Sankale J.L., Boye C., Mboup S and Diadhiou F. </w:t>
      </w:r>
      <w:r w:rsidRPr="00BB1B43">
        <w:rPr>
          <w:rFonts w:ascii="Times New Roman" w:eastAsia="Times New Roman"/>
          <w:sz w:val="20"/>
          <w:szCs w:val="20"/>
          <w:lang w:eastAsia="en-GB"/>
        </w:rPr>
        <w:t>“</w:t>
      </w:r>
      <w:r w:rsidRPr="00BB1B43">
        <w:rPr>
          <w:rFonts w:ascii="Times New Roman" w:eastAsia="Times New Roman"/>
          <w:sz w:val="20"/>
          <w:szCs w:val="20"/>
          <w:lang w:eastAsia="en-GB"/>
        </w:rPr>
        <w:t>Perinatal Transimission of Hepatitis B Virus Infection in Senegal, West Africa.</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 xml:space="preserve">Viral Immunol, </w:t>
      </w:r>
      <w:r w:rsidRPr="00BB1B43">
        <w:rPr>
          <w:rFonts w:ascii="Times New Roman" w:eastAsia="Times New Roman"/>
          <w:sz w:val="20"/>
          <w:szCs w:val="20"/>
          <w:lang w:eastAsia="en-GB"/>
        </w:rPr>
        <w:t xml:space="preserve"> 6, 65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73, 1993.</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lastRenderedPageBreak/>
        <w:t xml:space="preserve">Imade G.E., Sagay A.S., Ugwu B.T., Thacher T.D. and Ford R.W. </w:t>
      </w:r>
      <w:r w:rsidRPr="00BB1B43">
        <w:rPr>
          <w:rFonts w:ascii="Times New Roman" w:eastAsia="Times New Roman"/>
          <w:sz w:val="20"/>
          <w:szCs w:val="20"/>
          <w:lang w:eastAsia="en-GB"/>
        </w:rPr>
        <w:t>“</w:t>
      </w:r>
      <w:r w:rsidRPr="00BB1B43">
        <w:rPr>
          <w:rFonts w:ascii="Times New Roman" w:eastAsia="Times New Roman"/>
          <w:sz w:val="20"/>
          <w:szCs w:val="20"/>
          <w:lang w:eastAsia="en-GB"/>
        </w:rPr>
        <w:t>Seroprevalence of Hepatitis B and HIV infection of pregnant women in Nigeria.</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J Med Trop.,</w:t>
      </w:r>
      <w:r w:rsidRPr="00BB1B43">
        <w:rPr>
          <w:rFonts w:ascii="Times New Roman" w:eastAsia="Times New Roman"/>
          <w:sz w:val="20"/>
          <w:szCs w:val="20"/>
          <w:lang w:eastAsia="en-GB"/>
        </w:rPr>
        <w:t xml:space="preserve"> 61, 15-21, 2004.</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Ochei J and Kolhatkar A. </w:t>
      </w:r>
      <w:r w:rsidRPr="00BB1B43">
        <w:rPr>
          <w:rFonts w:ascii="Times New Roman" w:eastAsia="Times New Roman"/>
          <w:sz w:val="20"/>
          <w:szCs w:val="20"/>
          <w:lang w:eastAsia="en-GB"/>
        </w:rPr>
        <w:t>“</w:t>
      </w:r>
      <w:r w:rsidRPr="00BB1B43">
        <w:rPr>
          <w:rFonts w:ascii="Times New Roman" w:eastAsia="Times New Roman"/>
          <w:sz w:val="20"/>
          <w:szCs w:val="20"/>
          <w:lang w:eastAsia="en-GB"/>
        </w:rPr>
        <w:t>Basic Immunology and Serolognosis, Serodiagnosis of Hepatitis.</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Medical Laboratory Science Theory and Practice</w:t>
      </w:r>
      <w:r w:rsidRPr="00BB1B43">
        <w:rPr>
          <w:rFonts w:ascii="Times New Roman" w:eastAsia="Times New Roman"/>
          <w:sz w:val="20"/>
          <w:szCs w:val="20"/>
          <w:lang w:eastAsia="en-GB"/>
        </w:rPr>
        <w:t xml:space="preserve">.Vol.1. B.Mac GrowHill., 2007, Pp. 1198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200.</w:t>
      </w:r>
    </w:p>
    <w:p w:rsidR="009421F1" w:rsidRPr="00BB1B43" w:rsidRDefault="009421F1" w:rsidP="009421F1">
      <w:pPr>
        <w:pStyle w:val="ListParagraph"/>
        <w:widowControl/>
        <w:numPr>
          <w:ilvl w:val="0"/>
          <w:numId w:val="20"/>
        </w:numPr>
        <w:spacing w:after="200" w:line="276" w:lineRule="auto"/>
        <w:contextualSpacing/>
        <w:jc w:val="both"/>
        <w:rPr>
          <w:rFonts w:ascii="Times New Roman"/>
          <w:sz w:val="20"/>
          <w:szCs w:val="20"/>
        </w:rPr>
      </w:pPr>
      <w:r w:rsidRPr="00BB1B43">
        <w:rPr>
          <w:rFonts w:ascii="Times New Roman"/>
          <w:sz w:val="20"/>
          <w:szCs w:val="20"/>
        </w:rPr>
        <w:t xml:space="preserve">McMahon, B.J., Holck, P., Bulkow L. </w:t>
      </w:r>
      <w:r w:rsidRPr="00BB1B43">
        <w:rPr>
          <w:rFonts w:ascii="Times New Roman"/>
          <w:sz w:val="20"/>
          <w:szCs w:val="20"/>
        </w:rPr>
        <w:t>“</w:t>
      </w:r>
      <w:r w:rsidRPr="00BB1B43">
        <w:rPr>
          <w:rFonts w:ascii="Times New Roman"/>
          <w:sz w:val="20"/>
          <w:szCs w:val="20"/>
        </w:rPr>
        <w:t>Serologic and Clinical Outcomes of 1536 Alaska Native Chronically Infected with Hepatitis B Virus.</w:t>
      </w:r>
      <w:r w:rsidRPr="00BB1B43">
        <w:rPr>
          <w:rFonts w:ascii="Times New Roman"/>
          <w:sz w:val="20"/>
          <w:szCs w:val="20"/>
        </w:rPr>
        <w:t>”</w:t>
      </w:r>
      <w:r w:rsidRPr="00BB1B43">
        <w:rPr>
          <w:rFonts w:ascii="Times New Roman"/>
          <w:sz w:val="20"/>
          <w:szCs w:val="20"/>
        </w:rPr>
        <w:t xml:space="preserve"> </w:t>
      </w:r>
      <w:r w:rsidRPr="00BB1B43">
        <w:rPr>
          <w:rFonts w:ascii="Times New Roman"/>
          <w:i/>
          <w:sz w:val="20"/>
          <w:szCs w:val="20"/>
        </w:rPr>
        <w:t>Ann intern med.,</w:t>
      </w:r>
      <w:r w:rsidRPr="00BB1B43">
        <w:rPr>
          <w:rFonts w:ascii="Times New Roman"/>
          <w:sz w:val="20"/>
          <w:szCs w:val="20"/>
        </w:rPr>
        <w:t xml:space="preserve"> 135, 759 -68, 2001. </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Brooks G.F., Carroll C.K., Butel J., Morse A.S.</w:t>
      </w:r>
      <w:r w:rsidRPr="00BB1B43">
        <w:rPr>
          <w:rFonts w:ascii="Times New Roman" w:eastAsia="Times New Roman"/>
          <w:sz w:val="20"/>
          <w:szCs w:val="20"/>
          <w:lang w:eastAsia="en-GB"/>
        </w:rPr>
        <w:t>“</w:t>
      </w:r>
      <w:r w:rsidRPr="00BB1B43">
        <w:rPr>
          <w:rFonts w:ascii="Times New Roman" w:eastAsia="Times New Roman"/>
          <w:sz w:val="20"/>
          <w:szCs w:val="20"/>
          <w:lang w:eastAsia="en-GB"/>
        </w:rPr>
        <w:t>Hepatitis Virus Infection in Human.</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Medical Microboilogy</w:t>
      </w:r>
      <w:r w:rsidRPr="00BB1B43">
        <w:rPr>
          <w:rFonts w:ascii="Times New Roman" w:eastAsia="Times New Roman"/>
          <w:sz w:val="20"/>
          <w:szCs w:val="20"/>
          <w:lang w:eastAsia="en-GB"/>
        </w:rPr>
        <w:t xml:space="preserve">. Vol. 1, Mac Grow Hills., 2007, Pp. 466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73.</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Usha A., Shashi C and Aruna A.</w:t>
      </w:r>
      <w:r w:rsidRPr="00BB1B43">
        <w:rPr>
          <w:rFonts w:ascii="Times New Roman" w:eastAsia="Times New Roman"/>
          <w:sz w:val="20"/>
          <w:szCs w:val="20"/>
          <w:lang w:eastAsia="en-GB"/>
        </w:rPr>
        <w:t>“</w:t>
      </w:r>
      <w:r w:rsidRPr="00BB1B43">
        <w:rPr>
          <w:rFonts w:ascii="Times New Roman" w:eastAsia="Times New Roman"/>
          <w:sz w:val="20"/>
          <w:szCs w:val="20"/>
          <w:lang w:eastAsia="en-GB"/>
        </w:rPr>
        <w:t>Prevalence of IgM Antibodies to Toxoplasma, Rubella and Cytomegalovirus Infections during Pregnancy.</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J.K. Science</w:t>
      </w:r>
      <w:r w:rsidRPr="00BB1B43">
        <w:rPr>
          <w:rFonts w:ascii="Times New Roman" w:eastAsia="Times New Roman"/>
          <w:sz w:val="20"/>
          <w:szCs w:val="20"/>
          <w:lang w:eastAsia="en-GB"/>
        </w:rPr>
        <w:t xml:space="preserve">., 6 (4), 190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2, 2004.</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Sharma J.B and Buckshe K. </w:t>
      </w:r>
      <w:r w:rsidRPr="00BB1B43">
        <w:rPr>
          <w:rFonts w:ascii="Times New Roman" w:eastAsia="Times New Roman"/>
          <w:sz w:val="20"/>
          <w:szCs w:val="20"/>
          <w:lang w:eastAsia="en-GB"/>
        </w:rPr>
        <w:t>“</w:t>
      </w:r>
      <w:r w:rsidRPr="00BB1B43">
        <w:rPr>
          <w:rFonts w:ascii="Times New Roman" w:eastAsia="Times New Roman"/>
          <w:sz w:val="20"/>
          <w:szCs w:val="20"/>
          <w:lang w:eastAsia="en-GB"/>
        </w:rPr>
        <w:t>Rubella Infection: a Cause of Foetal Wastage.</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J Ind Med Assoc,</w:t>
      </w:r>
      <w:r w:rsidRPr="00BB1B43">
        <w:rPr>
          <w:rFonts w:ascii="Times New Roman" w:eastAsia="Times New Roman"/>
          <w:sz w:val="20"/>
          <w:szCs w:val="20"/>
          <w:lang w:eastAsia="en-GB"/>
        </w:rPr>
        <w:t xml:space="preserve"> 99 (7), 174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75, 1992.</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i/>
          <w:sz w:val="20"/>
          <w:szCs w:val="20"/>
          <w:lang w:eastAsia="en-GB"/>
        </w:rPr>
      </w:pPr>
      <w:r w:rsidRPr="00BB1B43">
        <w:rPr>
          <w:rFonts w:ascii="Times New Roman" w:eastAsia="Times New Roman"/>
          <w:sz w:val="20"/>
          <w:szCs w:val="20"/>
          <w:lang w:eastAsia="en-GB"/>
        </w:rPr>
        <w:t xml:space="preserve">Dykewicz C.A,. Kruszon-Moran D and McQuillan G.M. </w:t>
      </w:r>
      <w:r w:rsidRPr="00BB1B43">
        <w:rPr>
          <w:rFonts w:ascii="Times New Roman" w:eastAsia="Times New Roman"/>
          <w:sz w:val="20"/>
          <w:szCs w:val="20"/>
          <w:lang w:eastAsia="en-GB"/>
        </w:rPr>
        <w:t>“</w:t>
      </w:r>
      <w:r w:rsidRPr="00BB1B43">
        <w:rPr>
          <w:rFonts w:ascii="Times New Roman" w:eastAsia="Times New Roman"/>
          <w:sz w:val="20"/>
          <w:szCs w:val="20"/>
          <w:lang w:eastAsia="en-GB"/>
        </w:rPr>
        <w:t>Rubella Seropositivity in the United States.</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Clin. Infect Dis</w:t>
      </w:r>
      <w:r w:rsidRPr="00BB1B43">
        <w:rPr>
          <w:rFonts w:ascii="Times New Roman" w:eastAsia="Times New Roman"/>
          <w:sz w:val="20"/>
          <w:szCs w:val="20"/>
          <w:lang w:eastAsia="en-GB"/>
        </w:rPr>
        <w:t>., 33, 1279-1286</w:t>
      </w:r>
      <w:r w:rsidRPr="00BB1B43">
        <w:rPr>
          <w:rFonts w:ascii="Times New Roman" w:eastAsia="Times New Roman"/>
          <w:i/>
          <w:sz w:val="20"/>
          <w:szCs w:val="20"/>
          <w:lang w:eastAsia="en-GB"/>
        </w:rPr>
        <w:t xml:space="preserve">, </w:t>
      </w:r>
      <w:r w:rsidRPr="00BB1B43">
        <w:rPr>
          <w:rFonts w:ascii="Times New Roman" w:eastAsia="Times New Roman"/>
          <w:sz w:val="20"/>
          <w:szCs w:val="20"/>
          <w:lang w:eastAsia="en-GB"/>
        </w:rPr>
        <w:t>2001.</w:t>
      </w:r>
    </w:p>
    <w:p w:rsidR="009421F1" w:rsidRPr="00BB1B43" w:rsidRDefault="009421F1" w:rsidP="009421F1">
      <w:pPr>
        <w:pStyle w:val="ListParagraph"/>
        <w:widowControl/>
        <w:numPr>
          <w:ilvl w:val="0"/>
          <w:numId w:val="20"/>
        </w:numPr>
        <w:spacing w:after="200" w:line="276" w:lineRule="auto"/>
        <w:contextualSpacing/>
        <w:jc w:val="both"/>
        <w:rPr>
          <w:rFonts w:ascii="Times New Roman"/>
          <w:sz w:val="20"/>
          <w:szCs w:val="20"/>
        </w:rPr>
      </w:pPr>
      <w:r w:rsidRPr="00BB1B43">
        <w:rPr>
          <w:rFonts w:ascii="Times New Roman" w:eastAsia="Times New Roman"/>
          <w:sz w:val="20"/>
          <w:szCs w:val="20"/>
          <w:lang w:eastAsia="en-GB"/>
        </w:rPr>
        <w:t xml:space="preserve">Onakewhor J.V., Offor E. and Okonofua F.E.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Maternal and Neonatal sero- Prevalence of Hepatitis </w:t>
      </w:r>
      <w:r w:rsidRPr="00BB1B43">
        <w:rPr>
          <w:rFonts w:ascii="Times New Roman"/>
          <w:sz w:val="20"/>
          <w:szCs w:val="20"/>
        </w:rPr>
        <w:t xml:space="preserve">B Surface Antigen (HBs Ag) in Benin City.  </w:t>
      </w:r>
      <w:r w:rsidRPr="00BB1B43">
        <w:rPr>
          <w:rFonts w:ascii="Times New Roman"/>
          <w:i/>
          <w:sz w:val="20"/>
          <w:szCs w:val="20"/>
        </w:rPr>
        <w:t>Journal of Obstetrics and Gynecology</w:t>
      </w:r>
      <w:r w:rsidRPr="00BB1B43">
        <w:rPr>
          <w:rFonts w:ascii="Times New Roman"/>
          <w:sz w:val="20"/>
          <w:szCs w:val="20"/>
        </w:rPr>
        <w:t xml:space="preserve">, 21(6): 583-586, </w:t>
      </w:r>
      <w:r w:rsidRPr="00BB1B43">
        <w:rPr>
          <w:rFonts w:ascii="Times New Roman" w:eastAsia="Times New Roman"/>
          <w:sz w:val="20"/>
          <w:szCs w:val="20"/>
          <w:lang w:eastAsia="en-GB"/>
        </w:rPr>
        <w:t>2001.</w:t>
      </w:r>
    </w:p>
    <w:p w:rsidR="009421F1" w:rsidRPr="00BB1B43" w:rsidRDefault="009421F1" w:rsidP="009421F1">
      <w:pPr>
        <w:pStyle w:val="ListParagraph"/>
        <w:widowControl/>
        <w:numPr>
          <w:ilvl w:val="0"/>
          <w:numId w:val="20"/>
        </w:numPr>
        <w:spacing w:after="200" w:line="276" w:lineRule="auto"/>
        <w:contextualSpacing/>
        <w:jc w:val="both"/>
        <w:rPr>
          <w:rFonts w:ascii="Times New Roman"/>
          <w:sz w:val="20"/>
          <w:szCs w:val="20"/>
        </w:rPr>
      </w:pPr>
      <w:r w:rsidRPr="00BB1B43">
        <w:rPr>
          <w:rFonts w:ascii="Times New Roman" w:eastAsia="Times New Roman"/>
          <w:sz w:val="20"/>
          <w:szCs w:val="20"/>
          <w:lang w:eastAsia="en-GB"/>
        </w:rPr>
        <w:t>Yasodhara P., Ramalakshmi B.A., Naidu A.N., Raman L.P.</w:t>
      </w:r>
      <w:r w:rsidRPr="00BB1B43">
        <w:rPr>
          <w:rFonts w:ascii="Times New Roman"/>
          <w:sz w:val="20"/>
          <w:szCs w:val="20"/>
        </w:rPr>
        <w:t xml:space="preserve"> </w:t>
      </w:r>
      <w:r w:rsidRPr="00BB1B43">
        <w:rPr>
          <w:rFonts w:ascii="Times New Roman"/>
          <w:sz w:val="20"/>
          <w:szCs w:val="20"/>
        </w:rPr>
        <w:t>“</w:t>
      </w:r>
      <w:r w:rsidRPr="00BB1B43">
        <w:rPr>
          <w:rFonts w:ascii="Times New Roman"/>
          <w:sz w:val="20"/>
          <w:szCs w:val="20"/>
        </w:rPr>
        <w:t>Prevalence of Specific IgM due to Toxoplasma, Rubella, CMV and C. Trachomatis Infection during Frequency.</w:t>
      </w:r>
      <w:r w:rsidRPr="00BB1B43">
        <w:rPr>
          <w:rFonts w:ascii="Times New Roman"/>
          <w:sz w:val="20"/>
          <w:szCs w:val="20"/>
        </w:rPr>
        <w:t>”</w:t>
      </w:r>
      <w:r w:rsidRPr="00BB1B43">
        <w:rPr>
          <w:rFonts w:ascii="Times New Roman"/>
          <w:sz w:val="20"/>
          <w:szCs w:val="20"/>
        </w:rPr>
        <w:t xml:space="preserve"> </w:t>
      </w:r>
      <w:r w:rsidRPr="00BB1B43">
        <w:rPr>
          <w:rFonts w:ascii="Times New Roman"/>
          <w:i/>
          <w:sz w:val="20"/>
          <w:szCs w:val="20"/>
        </w:rPr>
        <w:t>JJMM</w:t>
      </w:r>
      <w:r w:rsidRPr="00BB1B43">
        <w:rPr>
          <w:rFonts w:ascii="Times New Roman"/>
          <w:sz w:val="20"/>
          <w:szCs w:val="20"/>
        </w:rPr>
        <w:t xml:space="preserve">, 19 </w:t>
      </w:r>
      <w:r w:rsidRPr="00BB1B43">
        <w:t>(2</w:t>
      </w:r>
      <w:r w:rsidRPr="00BB1B43">
        <w:rPr>
          <w:rFonts w:ascii="Times New Roman"/>
          <w:sz w:val="20"/>
          <w:szCs w:val="20"/>
        </w:rPr>
        <w:t xml:space="preserve">), 79 </w:t>
      </w:r>
      <w:r w:rsidRPr="00BB1B43">
        <w:rPr>
          <w:rFonts w:ascii="Times New Roman"/>
          <w:sz w:val="20"/>
          <w:szCs w:val="20"/>
        </w:rPr>
        <w:t>–</w:t>
      </w:r>
      <w:r w:rsidRPr="00BB1B43">
        <w:rPr>
          <w:rFonts w:ascii="Times New Roman"/>
          <w:sz w:val="20"/>
          <w:szCs w:val="20"/>
        </w:rPr>
        <w:t xml:space="preserve"> 82,</w:t>
      </w:r>
      <w:r w:rsidRPr="00BB1B43">
        <w:rPr>
          <w:rFonts w:ascii="Times New Roman" w:eastAsia="Times New Roman"/>
          <w:sz w:val="20"/>
          <w:szCs w:val="20"/>
          <w:lang w:eastAsia="en-GB"/>
        </w:rPr>
        <w:t xml:space="preserve"> 2001.</w:t>
      </w:r>
      <w:r w:rsidRPr="00BB1B43">
        <w:rPr>
          <w:rFonts w:ascii="Times New Roman"/>
          <w:sz w:val="20"/>
          <w:szCs w:val="20"/>
        </w:rPr>
        <w:t xml:space="preserve"> </w:t>
      </w:r>
    </w:p>
    <w:p w:rsidR="009421F1" w:rsidRPr="00BB1B43" w:rsidRDefault="009421F1" w:rsidP="009421F1">
      <w:pPr>
        <w:pStyle w:val="ListParagraph"/>
        <w:widowControl/>
        <w:numPr>
          <w:ilvl w:val="0"/>
          <w:numId w:val="20"/>
        </w:numPr>
        <w:spacing w:after="200" w:line="276" w:lineRule="auto"/>
        <w:contextualSpacing/>
        <w:jc w:val="both"/>
        <w:rPr>
          <w:rFonts w:ascii="Times New Roman"/>
          <w:sz w:val="20"/>
          <w:szCs w:val="20"/>
        </w:rPr>
      </w:pPr>
      <w:r w:rsidRPr="00BB1B43">
        <w:rPr>
          <w:rFonts w:ascii="Times New Roman"/>
          <w:sz w:val="20"/>
          <w:szCs w:val="20"/>
        </w:rPr>
        <w:t xml:space="preserve">Kishore K., Aggrawal J., Aggrawal S., Ayyagari A. </w:t>
      </w:r>
      <w:r w:rsidRPr="00BB1B43">
        <w:rPr>
          <w:rFonts w:ascii="Times New Roman"/>
          <w:sz w:val="20"/>
          <w:szCs w:val="20"/>
        </w:rPr>
        <w:t>“</w:t>
      </w:r>
      <w:r w:rsidRPr="00BB1B43">
        <w:rPr>
          <w:rFonts w:ascii="Times New Roman"/>
          <w:sz w:val="20"/>
          <w:szCs w:val="20"/>
        </w:rPr>
        <w:t>Sera Analysis of C. Trachomatis and S-TORCH Agents in Women with Recurrent Spontaneous Abortions.</w:t>
      </w:r>
      <w:r w:rsidRPr="00BB1B43">
        <w:rPr>
          <w:rFonts w:ascii="Times New Roman"/>
          <w:sz w:val="20"/>
          <w:szCs w:val="20"/>
        </w:rPr>
        <w:t>”</w:t>
      </w:r>
      <w:r w:rsidRPr="00BB1B43">
        <w:rPr>
          <w:rFonts w:ascii="Times New Roman"/>
          <w:sz w:val="20"/>
          <w:szCs w:val="20"/>
        </w:rPr>
        <w:t xml:space="preserve"> </w:t>
      </w:r>
      <w:r w:rsidRPr="00BB1B43">
        <w:rPr>
          <w:rFonts w:ascii="Times New Roman"/>
          <w:i/>
          <w:sz w:val="20"/>
          <w:szCs w:val="20"/>
        </w:rPr>
        <w:t xml:space="preserve">Ind J. Patol Microbial </w:t>
      </w:r>
      <w:r w:rsidRPr="00BB1B43">
        <w:rPr>
          <w:rFonts w:ascii="Times New Roman"/>
          <w:sz w:val="20"/>
          <w:szCs w:val="20"/>
        </w:rPr>
        <w:t>46 (4),</w:t>
      </w:r>
      <w:r w:rsidRPr="00BB1B43">
        <w:rPr>
          <w:rFonts w:ascii="Times New Roman"/>
          <w:b/>
          <w:sz w:val="20"/>
          <w:szCs w:val="20"/>
        </w:rPr>
        <w:t xml:space="preserve"> </w:t>
      </w:r>
      <w:r w:rsidRPr="00BB1B43">
        <w:rPr>
          <w:rFonts w:ascii="Times New Roman"/>
          <w:sz w:val="20"/>
          <w:szCs w:val="20"/>
        </w:rPr>
        <w:t xml:space="preserve">654 </w:t>
      </w:r>
      <w:r w:rsidRPr="00BB1B43">
        <w:rPr>
          <w:rFonts w:ascii="Times New Roman"/>
          <w:sz w:val="20"/>
          <w:szCs w:val="20"/>
        </w:rPr>
        <w:t>–</w:t>
      </w:r>
      <w:r w:rsidRPr="00BB1B43">
        <w:rPr>
          <w:rFonts w:ascii="Times New Roman"/>
          <w:sz w:val="20"/>
          <w:szCs w:val="20"/>
        </w:rPr>
        <w:t xml:space="preserve"> 87, 2003.</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Turbadkar D., Mathur M and Rela M. </w:t>
      </w:r>
      <w:r w:rsidRPr="00BB1B43">
        <w:rPr>
          <w:rFonts w:ascii="Times New Roman" w:eastAsia="Times New Roman"/>
          <w:sz w:val="20"/>
          <w:szCs w:val="20"/>
          <w:lang w:eastAsia="en-GB"/>
        </w:rPr>
        <w:t>“</w:t>
      </w:r>
      <w:r w:rsidRPr="00BB1B43">
        <w:rPr>
          <w:rFonts w:ascii="Times New Roman" w:eastAsia="Times New Roman"/>
          <w:sz w:val="20"/>
          <w:szCs w:val="20"/>
          <w:lang w:eastAsia="en-GB"/>
        </w:rPr>
        <w:t>Sero-Prevalence of Torch Infection in Bad Obstetric History.</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Ind J. Med Microbial</w:t>
      </w:r>
      <w:r w:rsidRPr="00BB1B43">
        <w:rPr>
          <w:rFonts w:ascii="Times New Roman" w:eastAsia="Times New Roman"/>
          <w:sz w:val="20"/>
          <w:szCs w:val="20"/>
          <w:lang w:eastAsia="en-GB"/>
        </w:rPr>
        <w:t xml:space="preserve">., 21 (2), 180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10, 2003.</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Davaalkham D.O and Nyamadawa P. </w:t>
      </w:r>
      <w:r w:rsidRPr="00BB1B43">
        <w:rPr>
          <w:rFonts w:ascii="Times New Roman" w:eastAsia="Times New Roman"/>
          <w:sz w:val="20"/>
          <w:szCs w:val="20"/>
          <w:lang w:eastAsia="en-GB"/>
        </w:rPr>
        <w:t>“</w:t>
      </w:r>
      <w:r w:rsidRPr="00BB1B43">
        <w:rPr>
          <w:rFonts w:ascii="Times New Roman" w:eastAsia="Times New Roman"/>
          <w:sz w:val="20"/>
          <w:szCs w:val="20"/>
          <w:lang w:eastAsia="en-GB"/>
        </w:rPr>
        <w:t>Sero-Epidemiology of Hepatitis B Virus Infections among Cchildren in Mangolia: Result of Nationwide Survey,</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i/>
          <w:sz w:val="20"/>
          <w:szCs w:val="20"/>
        </w:rPr>
        <w:t>Pacdiatrics International.</w:t>
      </w:r>
      <w:r w:rsidRPr="00BB1B43">
        <w:rPr>
          <w:rFonts w:ascii="Times New Roman"/>
          <w:sz w:val="20"/>
          <w:szCs w:val="20"/>
        </w:rPr>
        <w:t xml:space="preserve"> 49: 368 </w:t>
      </w:r>
      <w:r w:rsidRPr="00BB1B43">
        <w:rPr>
          <w:rFonts w:ascii="Times New Roman"/>
          <w:sz w:val="20"/>
          <w:szCs w:val="20"/>
        </w:rPr>
        <w:t>–</w:t>
      </w:r>
      <w:r w:rsidRPr="00BB1B43">
        <w:rPr>
          <w:rFonts w:ascii="Times New Roman"/>
          <w:sz w:val="20"/>
          <w:szCs w:val="20"/>
        </w:rPr>
        <w:t xml:space="preserve"> 74, </w:t>
      </w:r>
      <w:r w:rsidRPr="00BB1B43">
        <w:rPr>
          <w:rFonts w:ascii="Times New Roman" w:eastAsia="Times New Roman"/>
          <w:sz w:val="20"/>
          <w:szCs w:val="20"/>
          <w:lang w:eastAsia="en-GB"/>
        </w:rPr>
        <w:t>2007.</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Davaalkham D, O and Nyamadawa P.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Significance of HBV DNA Levels in Liver Histology of HBeAg and Anti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HBe Positive Patient with Chronic Hepatitis B.</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Am J Gastroenterol</w:t>
      </w:r>
      <w:r w:rsidRPr="00BB1B43">
        <w:rPr>
          <w:rFonts w:ascii="Times New Roman" w:eastAsia="Times New Roman"/>
          <w:sz w:val="20"/>
          <w:szCs w:val="20"/>
          <w:lang w:eastAsia="en-GB"/>
        </w:rPr>
        <w:t>., 99, 2032</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7, 2004.</w:t>
      </w:r>
    </w:p>
    <w:p w:rsidR="009421F1" w:rsidRPr="00BB1B43" w:rsidRDefault="009421F1" w:rsidP="009421F1">
      <w:pPr>
        <w:pStyle w:val="ListParagraph"/>
        <w:widowControl/>
        <w:numPr>
          <w:ilvl w:val="0"/>
          <w:numId w:val="20"/>
        </w:numPr>
        <w:spacing w:after="200" w:line="276" w:lineRule="auto"/>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Gomwalk N.E and Ahmad A.A. </w:t>
      </w:r>
      <w:r w:rsidRPr="00BB1B43">
        <w:rPr>
          <w:rFonts w:ascii="Times New Roman" w:eastAsia="Times New Roman"/>
          <w:sz w:val="20"/>
          <w:szCs w:val="20"/>
          <w:lang w:eastAsia="en-GB"/>
        </w:rPr>
        <w:t>“</w:t>
      </w:r>
      <w:r w:rsidRPr="00BB1B43">
        <w:rPr>
          <w:rFonts w:ascii="Times New Roman" w:eastAsia="Times New Roman"/>
          <w:sz w:val="20"/>
          <w:szCs w:val="20"/>
          <w:lang w:eastAsia="en-GB"/>
        </w:rPr>
        <w:t>Prevalence of rubella antibodies on the African continent</w:t>
      </w:r>
      <w:r w:rsidRPr="00BB1B43">
        <w:rPr>
          <w:rFonts w:ascii="Times New Roman" w:eastAsia="Times New Roman"/>
          <w:i/>
          <w:sz w:val="20"/>
          <w:szCs w:val="20"/>
          <w:lang w:eastAsia="en-GB"/>
        </w:rPr>
        <w:t>.</w:t>
      </w:r>
      <w:r w:rsidRPr="00BB1B43">
        <w:rPr>
          <w:rFonts w:ascii="Times New Roman" w:eastAsia="Times New Roman"/>
          <w:i/>
          <w:sz w:val="20"/>
          <w:szCs w:val="20"/>
          <w:lang w:eastAsia="en-GB"/>
        </w:rPr>
        <w:t>”</w:t>
      </w:r>
      <w:r w:rsidRPr="00BB1B43">
        <w:rPr>
          <w:rFonts w:ascii="Times New Roman" w:eastAsia="Times New Roman"/>
          <w:i/>
          <w:sz w:val="20"/>
          <w:szCs w:val="20"/>
          <w:lang w:eastAsia="en-GB"/>
        </w:rPr>
        <w:t xml:space="preserve"> Rev Infect Dis</w:t>
      </w:r>
      <w:r w:rsidRPr="00BB1B43">
        <w:rPr>
          <w:rFonts w:ascii="Times New Roman" w:eastAsia="Times New Roman"/>
          <w:sz w:val="20"/>
          <w:szCs w:val="20"/>
          <w:lang w:eastAsia="en-GB"/>
        </w:rPr>
        <w:t>, 11(1), 116-21, 1989.</w:t>
      </w:r>
    </w:p>
    <w:p w:rsidR="009421F1" w:rsidRPr="00BB1B43" w:rsidRDefault="009421F1" w:rsidP="009421F1">
      <w:pPr>
        <w:pStyle w:val="ListParagraph"/>
        <w:widowControl/>
        <w:numPr>
          <w:ilvl w:val="0"/>
          <w:numId w:val="20"/>
        </w:numPr>
        <w:contextualSpacing/>
        <w:jc w:val="both"/>
        <w:rPr>
          <w:rFonts w:ascii="Times New Roman" w:eastAsia="Times New Roman"/>
          <w:sz w:val="20"/>
          <w:szCs w:val="20"/>
          <w:lang w:eastAsia="en-GB"/>
        </w:rPr>
      </w:pPr>
      <w:r w:rsidRPr="00BB1B43">
        <w:rPr>
          <w:rFonts w:ascii="Times New Roman" w:eastAsia="Times New Roman"/>
          <w:sz w:val="20"/>
          <w:szCs w:val="20"/>
          <w:lang w:eastAsia="en-GB"/>
        </w:rPr>
        <w:t xml:space="preserve">Orenstein W.A., Bart K.J and Hinman A.R. </w:t>
      </w:r>
      <w:r w:rsidRPr="00BB1B43">
        <w:rPr>
          <w:rFonts w:ascii="Times New Roman" w:eastAsia="Times New Roman"/>
          <w:sz w:val="20"/>
          <w:szCs w:val="20"/>
          <w:lang w:eastAsia="en-GB"/>
        </w:rPr>
        <w:t>“</w:t>
      </w:r>
      <w:r w:rsidRPr="00BB1B43">
        <w:rPr>
          <w:rFonts w:ascii="Times New Roman" w:eastAsia="Times New Roman"/>
          <w:sz w:val="20"/>
          <w:szCs w:val="20"/>
          <w:lang w:eastAsia="en-GB"/>
        </w:rPr>
        <w:t>The opportunity and obligation to eliminate rubella from the United States.</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JAMA.,</w:t>
      </w:r>
      <w:r w:rsidRPr="00BB1B43">
        <w:rPr>
          <w:rFonts w:ascii="Times New Roman" w:eastAsia="Times New Roman"/>
          <w:sz w:val="20"/>
          <w:szCs w:val="20"/>
          <w:lang w:eastAsia="en-GB"/>
        </w:rPr>
        <w:t xml:space="preserve"> 251, 1988-1994, 1988.</w:t>
      </w:r>
    </w:p>
    <w:p w:rsidR="009421F1" w:rsidRPr="00BB1B43" w:rsidRDefault="009421F1" w:rsidP="009421F1">
      <w:pPr>
        <w:pStyle w:val="ListParagraph"/>
        <w:widowControl/>
        <w:numPr>
          <w:ilvl w:val="0"/>
          <w:numId w:val="20"/>
        </w:numPr>
        <w:spacing w:after="200" w:line="276" w:lineRule="auto"/>
        <w:contextualSpacing/>
        <w:jc w:val="both"/>
        <w:rPr>
          <w:rFonts w:ascii="Times New Roman"/>
          <w:sz w:val="20"/>
          <w:szCs w:val="20"/>
        </w:rPr>
      </w:pPr>
      <w:r w:rsidRPr="00BB1B43">
        <w:rPr>
          <w:rFonts w:ascii="Times New Roman" w:eastAsia="Times New Roman"/>
          <w:sz w:val="20"/>
          <w:szCs w:val="20"/>
          <w:lang w:eastAsia="en-GB"/>
        </w:rPr>
        <w:t xml:space="preserve">Zhang  H., He S.M., Sun  J. </w:t>
      </w:r>
      <w:r w:rsidRPr="00BB1B43">
        <w:rPr>
          <w:rFonts w:ascii="Times New Roman" w:eastAsia="Times New Roman"/>
          <w:sz w:val="20"/>
          <w:szCs w:val="20"/>
          <w:lang w:eastAsia="en-GB"/>
        </w:rPr>
        <w:t>“</w:t>
      </w:r>
      <w:r w:rsidRPr="00BB1B43">
        <w:rPr>
          <w:rFonts w:ascii="Times New Roman" w:eastAsia="Times New Roman"/>
          <w:sz w:val="20"/>
          <w:szCs w:val="20"/>
          <w:lang w:eastAsia="en-GB"/>
        </w:rPr>
        <w:t>Prevalence and Aetiology of Abnormal Liver Tests in an adult Population in Jilin China.</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w:t>
      </w:r>
      <w:r w:rsidRPr="00BB1B43">
        <w:rPr>
          <w:rFonts w:ascii="Times New Roman" w:eastAsia="Times New Roman"/>
          <w:i/>
          <w:sz w:val="20"/>
          <w:szCs w:val="20"/>
          <w:lang w:eastAsia="en-GB"/>
        </w:rPr>
        <w:t xml:space="preserve">Int J Med Sci., </w:t>
      </w:r>
      <w:r w:rsidRPr="00BB1B43">
        <w:rPr>
          <w:rFonts w:ascii="Times New Roman" w:eastAsia="Times New Roman"/>
          <w:sz w:val="20"/>
          <w:szCs w:val="20"/>
          <w:lang w:eastAsia="en-GB"/>
        </w:rPr>
        <w:t xml:space="preserve">8, 254 </w:t>
      </w:r>
      <w:r w:rsidRPr="00BB1B43">
        <w:rPr>
          <w:rFonts w:ascii="Times New Roman" w:eastAsia="Times New Roman"/>
          <w:sz w:val="20"/>
          <w:szCs w:val="20"/>
          <w:lang w:eastAsia="en-GB"/>
        </w:rPr>
        <w:t>–</w:t>
      </w:r>
      <w:r w:rsidRPr="00BB1B43">
        <w:rPr>
          <w:rFonts w:ascii="Times New Roman" w:eastAsia="Times New Roman"/>
          <w:sz w:val="20"/>
          <w:szCs w:val="20"/>
          <w:lang w:eastAsia="en-GB"/>
        </w:rPr>
        <w:t xml:space="preserve"> 62,</w:t>
      </w:r>
      <w:r w:rsidRPr="00BB1B43">
        <w:rPr>
          <w:rFonts w:ascii="Times New Roman" w:eastAsia="Times New Roman"/>
          <w:sz w:val="20"/>
          <w:szCs w:val="20"/>
          <w:lang w:eastAsia="en-GB"/>
        </w:rPr>
        <w:t> </w:t>
      </w:r>
      <w:r w:rsidRPr="00BB1B43">
        <w:rPr>
          <w:rFonts w:ascii="Times New Roman" w:eastAsia="Times New Roman"/>
          <w:sz w:val="20"/>
          <w:szCs w:val="20"/>
          <w:lang w:eastAsia="en-GB"/>
        </w:rPr>
        <w:t>2011.</w:t>
      </w:r>
    </w:p>
    <w:p w:rsidR="009421F1" w:rsidRPr="00BB1B43" w:rsidRDefault="009421F1" w:rsidP="009421F1">
      <w:pPr>
        <w:pStyle w:val="ListParagraph"/>
        <w:jc w:val="both"/>
        <w:rPr>
          <w:rFonts w:ascii="Times New Roman" w:eastAsia="Times New Roman"/>
          <w:sz w:val="20"/>
          <w:szCs w:val="20"/>
          <w:lang w:eastAsia="en-GB"/>
        </w:rPr>
      </w:pPr>
    </w:p>
    <w:p w:rsidR="009421F1" w:rsidRPr="00BB1B43" w:rsidRDefault="009421F1" w:rsidP="009421F1">
      <w:pPr>
        <w:pStyle w:val="ListParagraph"/>
        <w:jc w:val="both"/>
        <w:rPr>
          <w:rFonts w:ascii="Times New Roman" w:eastAsia="Times New Roman"/>
          <w:sz w:val="20"/>
          <w:szCs w:val="20"/>
          <w:lang w:eastAsia="en-GB"/>
        </w:rPr>
      </w:pPr>
    </w:p>
    <w:p w:rsidR="009421F1" w:rsidRPr="00BB1B43" w:rsidRDefault="009421F1" w:rsidP="009421F1">
      <w:pPr>
        <w:pStyle w:val="ListParagraph"/>
        <w:jc w:val="both"/>
        <w:rPr>
          <w:rFonts w:ascii="Times New Roman" w:eastAsia="Times New Roman"/>
          <w:sz w:val="20"/>
          <w:szCs w:val="20"/>
          <w:lang w:eastAsia="en-GB"/>
        </w:rPr>
      </w:pPr>
    </w:p>
    <w:p w:rsidR="009421F1" w:rsidRPr="00BB1B43" w:rsidRDefault="009421F1" w:rsidP="009421F1">
      <w:pPr>
        <w:pStyle w:val="Els-body-text"/>
        <w:ind w:firstLine="0"/>
      </w:pPr>
    </w:p>
    <w:p w:rsidR="009421F1" w:rsidRPr="00BB1B43" w:rsidRDefault="009421F1" w:rsidP="009421F1">
      <w:pPr>
        <w:jc w:val="both"/>
      </w:pPr>
    </w:p>
    <w:p w:rsidR="00366DA1" w:rsidRPr="00846F99" w:rsidRDefault="00366DA1" w:rsidP="00366DA1">
      <w:pPr>
        <w:autoSpaceDE w:val="0"/>
        <w:autoSpaceDN w:val="0"/>
        <w:adjustRightInd w:val="0"/>
        <w:rPr>
          <w:b/>
          <w:bCs/>
          <w:color w:val="000000"/>
          <w:sz w:val="32"/>
          <w:szCs w:val="32"/>
        </w:rPr>
      </w:pPr>
    </w:p>
    <w:p w:rsidR="00366DA1" w:rsidRPr="00AD2CC9" w:rsidRDefault="00366DA1" w:rsidP="00366DA1">
      <w:pPr>
        <w:autoSpaceDE w:val="0"/>
        <w:autoSpaceDN w:val="0"/>
        <w:adjustRightInd w:val="0"/>
        <w:spacing w:line="360" w:lineRule="auto"/>
        <w:jc w:val="both"/>
        <w:rPr>
          <w:b/>
          <w:bCs/>
        </w:rPr>
      </w:pPr>
    </w:p>
    <w:p w:rsidR="009421F1" w:rsidRDefault="009421F1" w:rsidP="009421F1">
      <w:pPr>
        <w:autoSpaceDE w:val="0"/>
        <w:autoSpaceDN w:val="0"/>
        <w:adjustRightInd w:val="0"/>
        <w:spacing w:line="360" w:lineRule="auto"/>
        <w:ind w:left="450"/>
        <w:jc w:val="both"/>
      </w:pPr>
    </w:p>
    <w:p w:rsidR="009421F1" w:rsidRDefault="009421F1" w:rsidP="009421F1">
      <w:pPr>
        <w:autoSpaceDE w:val="0"/>
        <w:autoSpaceDN w:val="0"/>
        <w:adjustRightInd w:val="0"/>
        <w:spacing w:line="360" w:lineRule="auto"/>
        <w:ind w:left="450"/>
        <w:jc w:val="both"/>
      </w:pPr>
    </w:p>
    <w:p w:rsidR="009421F1" w:rsidRDefault="009421F1" w:rsidP="009421F1">
      <w:pPr>
        <w:autoSpaceDE w:val="0"/>
        <w:autoSpaceDN w:val="0"/>
        <w:adjustRightInd w:val="0"/>
        <w:spacing w:line="360" w:lineRule="auto"/>
        <w:ind w:left="450"/>
        <w:jc w:val="both"/>
      </w:pPr>
    </w:p>
    <w:p w:rsidR="00366DA1" w:rsidRPr="009421F1" w:rsidRDefault="00366DA1" w:rsidP="009421F1">
      <w:pPr>
        <w:autoSpaceDE w:val="0"/>
        <w:autoSpaceDN w:val="0"/>
        <w:adjustRightInd w:val="0"/>
        <w:spacing w:line="360" w:lineRule="auto"/>
        <w:ind w:left="450"/>
        <w:jc w:val="both"/>
        <w:rPr>
          <w:b/>
          <w:bCs/>
        </w:rPr>
      </w:pPr>
      <w:r w:rsidRPr="00AD2CC9">
        <w:lastRenderedPageBreak/>
        <w:t>COMPLETE LIST OF AUTHORS:</w:t>
      </w:r>
    </w:p>
    <w:p w:rsidR="009421F1" w:rsidRPr="00CC41EA" w:rsidRDefault="00366DA1" w:rsidP="009421F1">
      <w:pPr>
        <w:spacing w:before="100" w:beforeAutospacing="1"/>
        <w:rPr>
          <w:b/>
          <w:sz w:val="36"/>
          <w:szCs w:val="36"/>
          <w:lang w:eastAsia="en-GB"/>
        </w:rPr>
      </w:pPr>
      <w:r>
        <w:rPr>
          <w:b/>
          <w:bCs/>
          <w:sz w:val="18"/>
          <w:szCs w:val="18"/>
        </w:rPr>
        <w:t xml:space="preserve"> </w:t>
      </w:r>
      <w:r w:rsidR="009421F1" w:rsidRPr="00BB1B43">
        <w:rPr>
          <w:b/>
          <w:bCs/>
          <w:sz w:val="28"/>
          <w:szCs w:val="28"/>
        </w:rPr>
        <w:t>Koki Y.A</w:t>
      </w:r>
      <w:r w:rsidR="009421F1" w:rsidRPr="00BB1B43">
        <w:rPr>
          <w:b/>
          <w:bCs/>
          <w:sz w:val="28"/>
          <w:szCs w:val="28"/>
          <w:vertAlign w:val="superscript"/>
        </w:rPr>
        <w:t>*</w:t>
      </w:r>
      <w:r w:rsidR="009421F1" w:rsidRPr="00BB1B43">
        <w:rPr>
          <w:b/>
          <w:bCs/>
          <w:sz w:val="28"/>
          <w:szCs w:val="28"/>
        </w:rPr>
        <w:t>, Mukhtar M.D</w:t>
      </w:r>
      <w:r w:rsidR="009421F1" w:rsidRPr="00BB1B43">
        <w:rPr>
          <w:b/>
          <w:bCs/>
          <w:sz w:val="28"/>
          <w:szCs w:val="28"/>
          <w:vertAlign w:val="subscript"/>
        </w:rPr>
        <w:t xml:space="preserve"> </w:t>
      </w:r>
      <w:r w:rsidR="009421F1" w:rsidRPr="00BB1B43">
        <w:rPr>
          <w:b/>
          <w:sz w:val="28"/>
          <w:szCs w:val="28"/>
          <w:vertAlign w:val="subscript"/>
        </w:rPr>
        <w:t>,</w:t>
      </w:r>
      <w:r w:rsidR="009421F1" w:rsidRPr="00BB1B43">
        <w:rPr>
          <w:b/>
          <w:sz w:val="28"/>
          <w:szCs w:val="28"/>
          <w:vertAlign w:val="superscript"/>
        </w:rPr>
        <w:t xml:space="preserve"> </w:t>
      </w:r>
      <w:r w:rsidR="009421F1" w:rsidRPr="00BB1B43">
        <w:rPr>
          <w:b/>
          <w:bCs/>
          <w:sz w:val="28"/>
          <w:szCs w:val="28"/>
        </w:rPr>
        <w:t>Taura  D.W,</w:t>
      </w:r>
      <w:r w:rsidR="009421F1" w:rsidRPr="00BB1B43">
        <w:rPr>
          <w:b/>
          <w:bCs/>
          <w:sz w:val="28"/>
          <w:szCs w:val="28"/>
          <w:vertAlign w:val="superscript"/>
        </w:rPr>
        <w:t xml:space="preserve"> </w:t>
      </w:r>
      <w:r w:rsidR="009421F1" w:rsidRPr="00BB1B43">
        <w:rPr>
          <w:b/>
          <w:bCs/>
          <w:sz w:val="28"/>
          <w:szCs w:val="28"/>
        </w:rPr>
        <w:t>Adamu  S,  Musa M.A, Ismail  T.A, Halliru  H.A, Hassan K.Y</w:t>
      </w:r>
      <w:r w:rsidR="009421F1" w:rsidRPr="00BB1B43">
        <w:rPr>
          <w:b/>
          <w:bCs/>
          <w:sz w:val="28"/>
          <w:szCs w:val="28"/>
          <w:vertAlign w:val="superscript"/>
        </w:rPr>
        <w:t xml:space="preserve"> </w:t>
      </w:r>
      <w:r w:rsidR="009421F1" w:rsidRPr="00BB1B43">
        <w:rPr>
          <w:b/>
          <w:bCs/>
          <w:sz w:val="28"/>
          <w:szCs w:val="28"/>
        </w:rPr>
        <w:t>,Usaini B.R.</w:t>
      </w:r>
    </w:p>
    <w:p w:rsidR="00366DA1" w:rsidRPr="00523FEA" w:rsidRDefault="00366DA1" w:rsidP="00366DA1">
      <w:pPr>
        <w:pStyle w:val="PlainText"/>
        <w:rPr>
          <w:rFonts w:ascii="Times New Roman" w:hAnsi="Times New Roman" w:cs="Times New Roman"/>
          <w:b/>
          <w:bCs/>
          <w:sz w:val="18"/>
          <w:szCs w:val="18"/>
          <w:lang w:eastAsia="zh-CN"/>
        </w:rPr>
      </w:pPr>
    </w:p>
    <w:p w:rsidR="00366DA1" w:rsidRPr="00AD2CC9"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CE3FC2">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9" w:tooltip="Global Society of Scientific Research and Researchers " w:history="1">
        <w:r w:rsidRPr="008260AE">
          <w:rPr>
            <w:rStyle w:val="Hyperlink"/>
            <w:b/>
            <w:bCs/>
          </w:rPr>
          <w:t>GSSRR</w:t>
        </w:r>
      </w:hyperlink>
      <w:r w:rsidRPr="008260AE">
        <w:rPr>
          <w:b/>
          <w:bCs/>
        </w:rPr>
        <w:t>)</w:t>
      </w:r>
      <w:r w:rsidRPr="008260AE">
        <w:t xml:space="preserve"> </w:t>
      </w:r>
      <w:r>
        <w:t xml:space="preserve">and to the </w:t>
      </w:r>
      <w:r w:rsidR="00CE3FC2" w:rsidRPr="00CE3FC2">
        <w:rPr>
          <w:b/>
          <w:bCs/>
        </w:rPr>
        <w:t>American Scientific Research Journal for Engineering, Technology, and Sciences (ASRJETS)</w:t>
      </w:r>
      <w:r w:rsidRPr="008260AE">
        <w:t xml:space="preserve"> </w:t>
      </w:r>
      <w:r w:rsidRPr="00AD2CC9">
        <w:t>("</w:t>
      </w:r>
      <w:r w:rsidR="00CE3FC2">
        <w:t>ASRJETS</w:t>
      </w:r>
      <w:r>
        <w:t xml:space="preserve">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rsidR="00CE3FC2">
        <w:t>ASRJETS</w:t>
      </w:r>
      <w:r>
        <w:t xml:space="preserve">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pPr>
      <w:r>
        <w:t>ASRJETS</w:t>
      </w:r>
      <w:r w:rsidR="00366DA1">
        <w:t xml:space="preserve"> </w:t>
      </w:r>
      <w:r w:rsidR="00366DA1" w:rsidRPr="00156680">
        <w:t xml:space="preserve"> distributes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r>
        <w:t>ASRJETS</w:t>
      </w:r>
      <w:r w:rsidR="00366DA1">
        <w:t xml:space="preserve"> </w:t>
      </w:r>
      <w:r w:rsidR="00366DA1" w:rsidRPr="00156680">
        <w:t>,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rsidR="00CE3FC2">
        <w:t>ASRJETS</w:t>
      </w:r>
      <w:r>
        <w:t xml:space="preserve"> </w:t>
      </w:r>
      <w:r w:rsidRPr="00156680">
        <w:t xml:space="preserve"> copyright notice are indicated, the copies are not used in any</w:t>
      </w:r>
      <w:r>
        <w:t xml:space="preserve"> </w:t>
      </w:r>
      <w:r w:rsidRPr="00156680">
        <w:t xml:space="preserve">way that implies </w:t>
      </w:r>
      <w:r w:rsidR="00CE3FC2">
        <w:t>ASRJETS</w:t>
      </w:r>
      <w:r>
        <w:t xml:space="preserve"> </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r w:rsidR="00CE3FC2">
        <w:t>ASRJETS</w:t>
      </w:r>
      <w:r>
        <w:t xml:space="preserve"> </w:t>
      </w:r>
      <w:r w:rsidRPr="00156680">
        <w:t xml:space="preserve"> in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rsidR="00CE3FC2">
        <w:t>ASRJETS</w:t>
      </w:r>
      <w:r>
        <w:t xml:space="preserve"> .</w:t>
      </w:r>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lastRenderedPageBreak/>
        <w:t>INFORMATION FOR AUTHORS</w:t>
      </w:r>
    </w:p>
    <w:p w:rsidR="008071A5"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rPr>
          <w:b/>
          <w:bCs/>
          <w:u w:val="single"/>
        </w:rPr>
      </w:pPr>
      <w:r>
        <w:rPr>
          <w:b/>
          <w:bCs/>
          <w:u w:val="single"/>
        </w:rPr>
        <w:t>ASRJETS</w:t>
      </w:r>
      <w:r w:rsidR="00366DA1">
        <w:rPr>
          <w:b/>
          <w:bCs/>
          <w:u w:val="single"/>
        </w:rPr>
        <w:t xml:space="preserve"> </w:t>
      </w:r>
      <w:r w:rsidR="00366DA1" w:rsidRPr="003462D3">
        <w:rPr>
          <w:b/>
          <w:bCs/>
          <w:u w:val="single"/>
        </w:rPr>
        <w:t xml:space="preserve"> Copyright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CE3FC2">
        <w:t>ASRJETS</w:t>
      </w:r>
      <w:r>
        <w:t xml:space="preserve">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rsidR="00CE3FC2">
        <w:t>ASRJETS</w:t>
      </w:r>
      <w:r>
        <w:t xml:space="preserve">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rsidR="00CE3FC2">
        <w:t>ASRJETS</w:t>
      </w:r>
      <w:r>
        <w:t xml:space="preserve"> </w:t>
      </w:r>
      <w:r w:rsidRPr="00156680">
        <w:t xml:space="preserve"> assumes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CE3FC2" w:rsidP="00366DA1">
      <w:pPr>
        <w:autoSpaceDE w:val="0"/>
        <w:autoSpaceDN w:val="0"/>
        <w:adjustRightInd w:val="0"/>
        <w:spacing w:line="360" w:lineRule="auto"/>
        <w:jc w:val="both"/>
      </w:pPr>
      <w:r>
        <w:t>ASRJETS</w:t>
      </w:r>
      <w:r w:rsidR="00366DA1">
        <w:t xml:space="preserve"> </w:t>
      </w:r>
      <w:r w:rsidR="00366DA1" w:rsidRPr="00156680">
        <w:t xml:space="preserve"> requires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r w:rsidR="00CE3FC2">
        <w:t>ASRJETS</w:t>
      </w:r>
      <w:r>
        <w:t xml:space="preserve"> </w:t>
      </w:r>
      <w:r w:rsidRPr="00156680">
        <w:t xml:space="preserve"> from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t>3</w:t>
      </w:r>
      <w:r w:rsidR="00366DA1" w:rsidRPr="00156680">
        <w:t>. For jointly authored Works, all joint authors should sign, or one of the authors should sign as authorized agent for the others.</w:t>
      </w:r>
    </w:p>
    <w:p w:rsidR="00366DA1" w:rsidRDefault="00B61B06" w:rsidP="00B61B06">
      <w:pPr>
        <w:autoSpaceDE w:val="0"/>
        <w:autoSpaceDN w:val="0"/>
        <w:adjustRightInd w:val="0"/>
        <w:spacing w:line="360" w:lineRule="auto"/>
        <w:jc w:val="both"/>
      </w:pPr>
      <w:r>
        <w:t>4</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books.</w:t>
      </w:r>
    </w:p>
    <w:p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1031AD" w:rsidRDefault="001031AD" w:rsidP="00366DA1">
      <w:pPr>
        <w:autoSpaceDE w:val="0"/>
        <w:autoSpaceDN w:val="0"/>
        <w:adjustRightInd w:val="0"/>
        <w:spacing w:line="360" w:lineRule="auto"/>
        <w:jc w:val="both"/>
      </w:pPr>
      <w:r>
        <w:lastRenderedPageBreak/>
        <w:t>7.</w:t>
      </w:r>
      <w:r w:rsidRPr="001031AD">
        <w:t>It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If the Editor In Chief was not able to find suitable reviewers for certain papers then he have the right to accept\reject the paper.</w:t>
      </w:r>
    </w:p>
    <w:p w:rsidR="00366DA1" w:rsidRDefault="001031AD" w:rsidP="00366DA1">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366DA1" w:rsidRPr="00BB4083" w:rsidRDefault="00366DA1" w:rsidP="00366DA1">
      <w:pPr>
        <w:autoSpaceDE w:val="0"/>
        <w:autoSpaceDN w:val="0"/>
        <w:adjustRightInd w:val="0"/>
        <w:spacing w:line="360" w:lineRule="auto"/>
        <w:rPr>
          <w:b/>
          <w:bCs/>
          <w:u w:val="single"/>
        </w:rPr>
      </w:pPr>
      <w:r w:rsidRPr="00BB4083">
        <w:rPr>
          <w:b/>
          <w:bCs/>
          <w:u w:val="single"/>
        </w:rPr>
        <w:t xml:space="preserve">   </w:t>
      </w:r>
      <w:r w:rsidRPr="00BB4083">
        <w:rPr>
          <w:b/>
          <w:bCs/>
          <w:u w:val="single"/>
        </w:rPr>
        <w:tab/>
      </w:r>
      <w:r w:rsidRPr="00BB4083">
        <w:rPr>
          <w:b/>
          <w:bCs/>
          <w:u w:val="single"/>
        </w:rPr>
        <w:tab/>
      </w:r>
      <w:r w:rsidRPr="00BB4083">
        <w:rPr>
          <w:b/>
          <w:bCs/>
          <w:u w:val="single"/>
        </w:rPr>
        <w:tab/>
        <w:t xml:space="preserve">              </w:t>
      </w:r>
      <w:r>
        <w:rPr>
          <w:b/>
          <w:bCs/>
          <w:u w:val="single"/>
        </w:rPr>
        <w:tab/>
      </w:r>
      <w:r>
        <w:rPr>
          <w:b/>
          <w:bCs/>
        </w:rPr>
        <w:tab/>
      </w:r>
      <w:r>
        <w:rPr>
          <w:b/>
          <w:bCs/>
        </w:rPr>
        <w:tab/>
      </w:r>
      <w:r>
        <w:rPr>
          <w:b/>
          <w:bCs/>
        </w:rPr>
        <w:tab/>
      </w:r>
      <w:r>
        <w:rPr>
          <w:b/>
          <w:bCs/>
        </w:rPr>
        <w:tab/>
      </w:r>
      <w:r>
        <w:rPr>
          <w:b/>
          <w:bCs/>
        </w:rPr>
        <w:tab/>
      </w:r>
      <w:r>
        <w:rPr>
          <w:b/>
          <w:bCs/>
        </w:rPr>
        <w:tab/>
      </w:r>
      <w:r>
        <w:rPr>
          <w:b/>
          <w:bCs/>
          <w:u w:val="single"/>
        </w:rPr>
        <w:tab/>
      </w:r>
      <w:r>
        <w:rPr>
          <w:b/>
          <w:bCs/>
          <w:u w:val="single"/>
        </w:rPr>
        <w:tab/>
      </w:r>
    </w:p>
    <w:p w:rsidR="00366DA1" w:rsidRDefault="00366DA1" w:rsidP="00366DA1">
      <w:pPr>
        <w:autoSpaceDE w:val="0"/>
        <w:autoSpaceDN w:val="0"/>
        <w:adjustRightInd w:val="0"/>
        <w:spacing w:line="360" w:lineRule="auto"/>
        <w:jc w:val="both"/>
        <w:rPr>
          <w:b/>
          <w:bCs/>
        </w:rPr>
      </w:pPr>
      <w:r w:rsidRPr="00156680">
        <w:rPr>
          <w:b/>
          <w:bCs/>
        </w:rPr>
        <w:t xml:space="preserve">Author/Authorized Agent For Joint Authors </w:t>
      </w:r>
      <w:r w:rsidR="009421F1">
        <w:rPr>
          <w:b/>
          <w:bCs/>
        </w:rPr>
        <w:tab/>
      </w:r>
      <w:r w:rsidR="009421F1">
        <w:rPr>
          <w:b/>
          <w:bCs/>
        </w:rPr>
        <w:tab/>
      </w:r>
      <w:r w:rsidR="009421F1">
        <w:rPr>
          <w:b/>
          <w:bCs/>
        </w:rPr>
        <w:tab/>
      </w:r>
      <w:r w:rsidR="009421F1">
        <w:rPr>
          <w:b/>
          <w:bCs/>
        </w:rPr>
        <w:tab/>
        <w:t>Date: 14/11/2014</w:t>
      </w:r>
      <w:r w:rsidR="009421F1">
        <w:rPr>
          <w:b/>
          <w:bCs/>
          <w:highlight w:val="yellow"/>
        </w:rPr>
        <w:t>-</w:t>
      </w:r>
      <w:r w:rsidRPr="00942D7D">
        <w:rPr>
          <w:b/>
          <w:bCs/>
          <w:highlight w:val="yellow"/>
        </w:rPr>
        <w:t>----</w:t>
      </w:r>
      <w:r w:rsidR="009421F1">
        <w:rPr>
          <w:b/>
          <w:bCs/>
          <w:highlight w:val="yellow"/>
        </w:rPr>
        <w:t>ABDULLAHI YUSuF KOKI-</w:t>
      </w:r>
    </w:p>
    <w:p w:rsidR="008071A5"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Pr="00C84FBF" w:rsidRDefault="00F46F8C" w:rsidP="00A6327B">
      <w:pPr>
        <w:rPr>
          <w:color w:val="548DD4" w:themeColor="text2" w:themeTint="99"/>
        </w:rPr>
      </w:pPr>
      <w:hyperlink r:id="rId10" w:history="1">
        <w:r w:rsidR="00C84FBF" w:rsidRPr="00C84FBF">
          <w:rPr>
            <w:rStyle w:val="Hyperlink"/>
            <w:color w:val="548DD4" w:themeColor="text2" w:themeTint="99"/>
            <w:sz w:val="20"/>
          </w:rPr>
          <w:t>editor@asrjetsjournal.org</w:t>
        </w:r>
      </w:hyperlink>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CE3FC2">
          <w:footerReference w:type="default" r:id="rId11"/>
          <w:headerReference w:type="first" r:id="rId12"/>
          <w:pgSz w:w="12240" w:h="15840"/>
          <w:pgMar w:top="1440" w:right="1800" w:bottom="1170" w:left="1800" w:header="576" w:footer="720" w:gutter="0"/>
          <w:cols w:space="720"/>
          <w:titlePg/>
          <w:docGrid w:linePitch="360"/>
        </w:sectPr>
      </w:pP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A41" w:rsidRDefault="00205A41" w:rsidP="00E05206">
      <w:r>
        <w:separator/>
      </w:r>
    </w:p>
  </w:endnote>
  <w:endnote w:type="continuationSeparator" w:id="1">
    <w:p w:rsidR="00205A41" w:rsidRDefault="00205A41" w:rsidP="00E052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374"/>
      <w:docPartObj>
        <w:docPartGallery w:val="Page Numbers (Bottom of Page)"/>
        <w:docPartUnique/>
      </w:docPartObj>
    </w:sdtPr>
    <w:sdtContent>
      <w:p w:rsidR="008071A5" w:rsidRDefault="00F46F8C">
        <w:pPr>
          <w:pStyle w:val="Footer"/>
        </w:pPr>
        <w:fldSimple w:instr=" PAGE   \* MERGEFORMAT ">
          <w:r w:rsidR="009421F1" w:rsidRPr="009421F1">
            <w:rPr>
              <w:noProof/>
              <w:lang w:val="ar-SA"/>
            </w:rPr>
            <w:t>15</w:t>
          </w:r>
        </w:fldSimple>
      </w:p>
    </w:sdtContent>
  </w:sdt>
  <w:p w:rsidR="008071A5" w:rsidRDefault="00807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A41" w:rsidRDefault="00205A41" w:rsidP="00E05206">
      <w:r>
        <w:separator/>
      </w:r>
    </w:p>
  </w:footnote>
  <w:footnote w:type="continuationSeparator" w:id="1">
    <w:p w:rsidR="00205A41" w:rsidRDefault="00205A41" w:rsidP="00E05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359"/>
      <w:tblW w:w="5625" w:type="pct"/>
      <w:tblCellMar>
        <w:left w:w="0" w:type="dxa"/>
        <w:right w:w="0" w:type="dxa"/>
      </w:tblCellMar>
      <w:tblLook w:val="0000"/>
    </w:tblPr>
    <w:tblGrid>
      <w:gridCol w:w="9720"/>
    </w:tblGrid>
    <w:tr w:rsidR="00CF4861" w:rsidRPr="00450288" w:rsidTr="009F46CE">
      <w:trPr>
        <w:trHeight w:val="945"/>
      </w:trPr>
      <w:tc>
        <w:tcPr>
          <w:tcW w:w="5000" w:type="pct"/>
          <w:shd w:val="clear" w:color="auto" w:fill="E1F0FF"/>
          <w:vAlign w:val="center"/>
        </w:tcPr>
        <w:p w:rsidR="00CF4861" w:rsidRPr="00E80B85" w:rsidRDefault="00CF4861" w:rsidP="009F46CE">
          <w:pPr>
            <w:rPr>
              <w:rFonts w:ascii="Arial" w:hAnsi="Arial" w:cs="Arial"/>
              <w:color w:val="0070C0"/>
              <w:sz w:val="36"/>
              <w:szCs w:val="36"/>
            </w:rPr>
          </w:pPr>
          <w:r w:rsidRPr="00E80B85">
            <w:rPr>
              <w:rFonts w:ascii="Arial" w:hAnsi="Arial" w:cs="Arial"/>
              <w:color w:val="0070C0"/>
              <w:sz w:val="36"/>
              <w:szCs w:val="36"/>
            </w:rPr>
            <w:t>American Scientific Research Journal for Engineering, Technology, and Sciences (ASRJETS)</w:t>
          </w:r>
        </w:p>
      </w:tc>
    </w:tr>
    <w:tr w:rsidR="00CF4861" w:rsidRPr="00450288" w:rsidTr="009F46CE">
      <w:trPr>
        <w:trHeight w:val="210"/>
      </w:trPr>
      <w:tc>
        <w:tcPr>
          <w:tcW w:w="5000" w:type="pct"/>
          <w:shd w:val="clear" w:color="auto" w:fill="762700"/>
          <w:vAlign w:val="center"/>
        </w:tcPr>
        <w:p w:rsidR="00CF4861" w:rsidRPr="007E182D" w:rsidRDefault="00CF4861" w:rsidP="009F46CE">
          <w:pPr>
            <w:rPr>
              <w:color w:val="FFFFFF"/>
            </w:rPr>
          </w:pPr>
          <w:r w:rsidRPr="00E80B85">
            <w:t>http://asrjetsjournal.org/</w:t>
          </w:r>
        </w:p>
      </w:tc>
    </w:tr>
  </w:tbl>
  <w:p w:rsidR="00CE3FC2" w:rsidRPr="00CF4861" w:rsidRDefault="00CE3FC2" w:rsidP="00CF4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6287"/>
    <w:multiLevelType w:val="hybridMultilevel"/>
    <w:tmpl w:val="2C58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50F02"/>
    <w:multiLevelType w:val="hybridMultilevel"/>
    <w:tmpl w:val="BEAC5652"/>
    <w:lvl w:ilvl="0" w:tplc="3C40C3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17A75"/>
    <w:multiLevelType w:val="hybridMultilevel"/>
    <w:tmpl w:val="CC7404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05A0E58"/>
    <w:multiLevelType w:val="hybridMultilevel"/>
    <w:tmpl w:val="D73E015C"/>
    <w:lvl w:ilvl="0" w:tplc="3C40C3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nsid w:val="20A229BD"/>
    <w:multiLevelType w:val="hybridMultilevel"/>
    <w:tmpl w:val="FE3CF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C02AD"/>
    <w:multiLevelType w:val="hybridMultilevel"/>
    <w:tmpl w:val="BB22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7595B"/>
    <w:multiLevelType w:val="hybridMultilevel"/>
    <w:tmpl w:val="9E023B2A"/>
    <w:lvl w:ilvl="0" w:tplc="3C40C3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9">
    <w:nsid w:val="320E0CAA"/>
    <w:multiLevelType w:val="hybridMultilevel"/>
    <w:tmpl w:val="2A1A8F90"/>
    <w:lvl w:ilvl="0" w:tplc="3C40C3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A50B5"/>
    <w:multiLevelType w:val="hybridMultilevel"/>
    <w:tmpl w:val="CBBC9AB6"/>
    <w:lvl w:ilvl="0" w:tplc="D2F6C45C">
      <w:start w:val="1"/>
      <w:numFmt w:val="bullet"/>
      <w:lvlText w:val=""/>
      <w:lvlJc w:val="left"/>
      <w:pPr>
        <w:ind w:left="720" w:hanging="360"/>
      </w:pPr>
      <w:rPr>
        <w:rFonts w:ascii="Wingdings" w:hAnsi="Wingdings" w:hint="default"/>
      </w:rPr>
    </w:lvl>
    <w:lvl w:ilvl="1" w:tplc="A3CE83D6">
      <w:start w:val="1"/>
      <w:numFmt w:val="bullet"/>
      <w:lvlText w:val="o"/>
      <w:lvlJc w:val="left"/>
      <w:pPr>
        <w:ind w:left="1440" w:hanging="360"/>
      </w:pPr>
      <w:rPr>
        <w:rFonts w:ascii="Courier New" w:hAnsi="Courier New" w:cs="Courier New" w:hint="default"/>
      </w:rPr>
    </w:lvl>
    <w:lvl w:ilvl="2" w:tplc="29B2D5C4">
      <w:start w:val="1"/>
      <w:numFmt w:val="bullet"/>
      <w:lvlText w:val=""/>
      <w:lvlJc w:val="left"/>
      <w:pPr>
        <w:ind w:left="2160" w:hanging="360"/>
      </w:pPr>
      <w:rPr>
        <w:rFonts w:ascii="Wingdings" w:hAnsi="Wingdings" w:hint="default"/>
      </w:rPr>
    </w:lvl>
    <w:lvl w:ilvl="3" w:tplc="3C40C3FC">
      <w:start w:val="1"/>
      <w:numFmt w:val="bullet"/>
      <w:lvlText w:val=""/>
      <w:lvlJc w:val="left"/>
      <w:pPr>
        <w:ind w:left="2880" w:hanging="360"/>
      </w:pPr>
      <w:rPr>
        <w:rFonts w:ascii="Symbol" w:hAnsi="Symbol" w:hint="default"/>
      </w:rPr>
    </w:lvl>
    <w:lvl w:ilvl="4" w:tplc="1904F612">
      <w:start w:val="1"/>
      <w:numFmt w:val="bullet"/>
      <w:lvlText w:val="o"/>
      <w:lvlJc w:val="left"/>
      <w:pPr>
        <w:ind w:left="3600" w:hanging="360"/>
      </w:pPr>
      <w:rPr>
        <w:rFonts w:ascii="Courier New" w:hAnsi="Courier New" w:cs="Courier New" w:hint="default"/>
      </w:rPr>
    </w:lvl>
    <w:lvl w:ilvl="5" w:tplc="DC2AD272">
      <w:start w:val="1"/>
      <w:numFmt w:val="bullet"/>
      <w:lvlText w:val=""/>
      <w:lvlJc w:val="left"/>
      <w:pPr>
        <w:ind w:left="4320" w:hanging="360"/>
      </w:pPr>
      <w:rPr>
        <w:rFonts w:ascii="Wingdings" w:hAnsi="Wingdings" w:hint="default"/>
      </w:rPr>
    </w:lvl>
    <w:lvl w:ilvl="6" w:tplc="D9C017CC">
      <w:start w:val="1"/>
      <w:numFmt w:val="bullet"/>
      <w:lvlText w:val=""/>
      <w:lvlJc w:val="left"/>
      <w:pPr>
        <w:ind w:left="5040" w:hanging="360"/>
      </w:pPr>
      <w:rPr>
        <w:rFonts w:ascii="Symbol" w:hAnsi="Symbol" w:hint="default"/>
      </w:rPr>
    </w:lvl>
    <w:lvl w:ilvl="7" w:tplc="308AAE60">
      <w:start w:val="1"/>
      <w:numFmt w:val="bullet"/>
      <w:lvlText w:val="o"/>
      <w:lvlJc w:val="left"/>
      <w:pPr>
        <w:ind w:left="5760" w:hanging="360"/>
      </w:pPr>
      <w:rPr>
        <w:rFonts w:ascii="Courier New" w:hAnsi="Courier New" w:cs="Courier New" w:hint="default"/>
      </w:rPr>
    </w:lvl>
    <w:lvl w:ilvl="8" w:tplc="44E43F3A">
      <w:start w:val="1"/>
      <w:numFmt w:val="bullet"/>
      <w:lvlText w:val=""/>
      <w:lvlJc w:val="left"/>
      <w:pPr>
        <w:ind w:left="6480" w:hanging="360"/>
      </w:pPr>
      <w:rPr>
        <w:rFonts w:ascii="Wingdings" w:hAnsi="Wingdings" w:hint="default"/>
      </w:rPr>
    </w:lvl>
  </w:abstractNum>
  <w:abstractNum w:abstractNumId="11">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4">
    <w:nsid w:val="64DA4248"/>
    <w:multiLevelType w:val="hybridMultilevel"/>
    <w:tmpl w:val="16C6F50E"/>
    <w:lvl w:ilvl="0" w:tplc="3C40C3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F2082C"/>
    <w:multiLevelType w:val="hybridMultilevel"/>
    <w:tmpl w:val="5A969BE8"/>
    <w:lvl w:ilvl="0" w:tplc="3C40C3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ED0186"/>
    <w:multiLevelType w:val="multilevel"/>
    <w:tmpl w:val="47C259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EA55A63"/>
    <w:multiLevelType w:val="multilevel"/>
    <w:tmpl w:val="7250DCC0"/>
    <w:lvl w:ilvl="0">
      <w:start w:val="2"/>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1"/>
  </w:num>
  <w:num w:numId="3">
    <w:abstractNumId w:val="11"/>
  </w:num>
  <w:num w:numId="4">
    <w:abstractNumId w:val="11"/>
  </w:num>
  <w:num w:numId="5">
    <w:abstractNumId w:val="4"/>
  </w:num>
  <w:num w:numId="6">
    <w:abstractNumId w:val="13"/>
  </w:num>
  <w:num w:numId="7">
    <w:abstractNumId w:val="12"/>
  </w:num>
  <w:num w:numId="8">
    <w:abstractNumId w:val="8"/>
  </w:num>
  <w:num w:numId="9">
    <w:abstractNumId w:val="17"/>
  </w:num>
  <w:num w:numId="10">
    <w:abstractNumId w:val="16"/>
  </w:num>
  <w:num w:numId="11">
    <w:abstractNumId w:val="10"/>
  </w:num>
  <w:num w:numId="12">
    <w:abstractNumId w:val="15"/>
  </w:num>
  <w:num w:numId="13">
    <w:abstractNumId w:val="3"/>
  </w:num>
  <w:num w:numId="14">
    <w:abstractNumId w:val="14"/>
  </w:num>
  <w:num w:numId="15">
    <w:abstractNumId w:val="1"/>
  </w:num>
  <w:num w:numId="16">
    <w:abstractNumId w:val="9"/>
  </w:num>
  <w:num w:numId="17">
    <w:abstractNumId w:val="7"/>
  </w:num>
  <w:num w:numId="18">
    <w:abstractNumId w:val="6"/>
  </w:num>
  <w:num w:numId="19">
    <w:abstractNumId w:val="5"/>
  </w:num>
  <w:num w:numId="20">
    <w:abstractNumId w:val="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07305E"/>
    <w:rsid w:val="00011AEC"/>
    <w:rsid w:val="0005251C"/>
    <w:rsid w:val="0007305E"/>
    <w:rsid w:val="00076134"/>
    <w:rsid w:val="000A497B"/>
    <w:rsid w:val="000B2B3D"/>
    <w:rsid w:val="001031AD"/>
    <w:rsid w:val="001607F3"/>
    <w:rsid w:val="00161B9E"/>
    <w:rsid w:val="001C0D0F"/>
    <w:rsid w:val="001C7AB1"/>
    <w:rsid w:val="00205A41"/>
    <w:rsid w:val="00261656"/>
    <w:rsid w:val="00273165"/>
    <w:rsid w:val="002F7756"/>
    <w:rsid w:val="0033563F"/>
    <w:rsid w:val="00345EA4"/>
    <w:rsid w:val="00366DA1"/>
    <w:rsid w:val="00384763"/>
    <w:rsid w:val="003E09FE"/>
    <w:rsid w:val="0045313D"/>
    <w:rsid w:val="004753F3"/>
    <w:rsid w:val="005A50D4"/>
    <w:rsid w:val="006651DD"/>
    <w:rsid w:val="006A69A0"/>
    <w:rsid w:val="006B0C96"/>
    <w:rsid w:val="006D7988"/>
    <w:rsid w:val="006F4812"/>
    <w:rsid w:val="00753739"/>
    <w:rsid w:val="007B3841"/>
    <w:rsid w:val="008071A5"/>
    <w:rsid w:val="0080732D"/>
    <w:rsid w:val="00847373"/>
    <w:rsid w:val="008B4680"/>
    <w:rsid w:val="008D2918"/>
    <w:rsid w:val="009421F1"/>
    <w:rsid w:val="00947347"/>
    <w:rsid w:val="009F6719"/>
    <w:rsid w:val="00A6327B"/>
    <w:rsid w:val="00B014A1"/>
    <w:rsid w:val="00B61B06"/>
    <w:rsid w:val="00B77342"/>
    <w:rsid w:val="00C011A8"/>
    <w:rsid w:val="00C84FBF"/>
    <w:rsid w:val="00CE3FC2"/>
    <w:rsid w:val="00CF4861"/>
    <w:rsid w:val="00CF4E1A"/>
    <w:rsid w:val="00D643C5"/>
    <w:rsid w:val="00D74D46"/>
    <w:rsid w:val="00DC7A80"/>
    <w:rsid w:val="00DD2DA1"/>
    <w:rsid w:val="00E05206"/>
    <w:rsid w:val="00E37120"/>
    <w:rsid w:val="00E6345E"/>
    <w:rsid w:val="00E94769"/>
    <w:rsid w:val="00F26183"/>
    <w:rsid w:val="00F46F8C"/>
    <w:rsid w:val="00F5579F"/>
    <w:rsid w:val="00F76EA4"/>
    <w:rsid w:val="00F9134F"/>
    <w:rsid w:val="00FD07CF"/>
    <w:rsid w:val="00FE0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 w:type="paragraph" w:customStyle="1" w:styleId="Els-1storder-head">
    <w:name w:val="Els-1storder-head"/>
    <w:next w:val="Els-body-text"/>
    <w:link w:val="Els-1storder-headChar"/>
    <w:rsid w:val="009421F1"/>
    <w:pPr>
      <w:keepNext/>
      <w:numPr>
        <w:numId w:val="6"/>
      </w:numPr>
      <w:suppressAutoHyphens/>
      <w:spacing w:before="240" w:after="240" w:line="240" w:lineRule="exact"/>
    </w:pPr>
    <w:rPr>
      <w:rFonts w:ascii="Times New Roman" w:hAnsi="Times New Roman"/>
      <w:b/>
    </w:rPr>
  </w:style>
  <w:style w:type="paragraph" w:customStyle="1" w:styleId="Els-2ndorder-head">
    <w:name w:val="Els-2ndorder-head"/>
    <w:next w:val="Els-body-text"/>
    <w:rsid w:val="009421F1"/>
    <w:pPr>
      <w:keepNext/>
      <w:numPr>
        <w:ilvl w:val="1"/>
        <w:numId w:val="6"/>
      </w:numPr>
      <w:suppressAutoHyphens/>
      <w:spacing w:before="240" w:after="240" w:line="240" w:lineRule="exact"/>
    </w:pPr>
    <w:rPr>
      <w:rFonts w:ascii="Times New Roman" w:hAnsi="Times New Roman"/>
      <w:i/>
    </w:rPr>
  </w:style>
  <w:style w:type="paragraph" w:customStyle="1" w:styleId="Els-3rdorder-head">
    <w:name w:val="Els-3rdorder-head"/>
    <w:next w:val="Els-body-text"/>
    <w:rsid w:val="009421F1"/>
    <w:pPr>
      <w:keepNext/>
      <w:numPr>
        <w:ilvl w:val="2"/>
        <w:numId w:val="6"/>
      </w:numPr>
      <w:suppressAutoHyphens/>
      <w:spacing w:before="240" w:line="240" w:lineRule="exact"/>
    </w:pPr>
    <w:rPr>
      <w:rFonts w:ascii="Times New Roman" w:hAnsi="Times New Roman"/>
      <w:i/>
    </w:rPr>
  </w:style>
  <w:style w:type="paragraph" w:customStyle="1" w:styleId="Els-4thorder-head">
    <w:name w:val="Els-4thorder-head"/>
    <w:next w:val="Els-body-text"/>
    <w:rsid w:val="009421F1"/>
    <w:pPr>
      <w:keepNext/>
      <w:numPr>
        <w:ilvl w:val="3"/>
        <w:numId w:val="6"/>
      </w:numPr>
      <w:suppressAutoHyphens/>
      <w:spacing w:before="240" w:line="240" w:lineRule="exact"/>
    </w:pPr>
    <w:rPr>
      <w:rFonts w:ascii="Times New Roman" w:hAnsi="Times New Roman"/>
      <w:i/>
    </w:rPr>
  </w:style>
  <w:style w:type="paragraph" w:customStyle="1" w:styleId="Els-Abstract-head">
    <w:name w:val="Els-Abstract-head"/>
    <w:next w:val="Normal"/>
    <w:rsid w:val="009421F1"/>
    <w:pPr>
      <w:keepNext/>
      <w:pBdr>
        <w:top w:val="single" w:sz="4" w:space="10" w:color="auto"/>
      </w:pBdr>
      <w:suppressAutoHyphens/>
      <w:spacing w:after="220" w:line="220" w:lineRule="exact"/>
    </w:pPr>
    <w:rPr>
      <w:rFonts w:ascii="Times New Roman" w:hAnsi="Times New Roman"/>
      <w:b/>
      <w:sz w:val="18"/>
    </w:rPr>
  </w:style>
  <w:style w:type="paragraph" w:customStyle="1" w:styleId="Els-Abstract-text">
    <w:name w:val="Els-Abstract-text"/>
    <w:next w:val="Normal"/>
    <w:rsid w:val="009421F1"/>
    <w:pPr>
      <w:spacing w:line="220" w:lineRule="exact"/>
      <w:jc w:val="both"/>
    </w:pPr>
    <w:rPr>
      <w:rFonts w:ascii="Times New Roman" w:hAnsi="Times New Roman"/>
      <w:sz w:val="18"/>
    </w:rPr>
  </w:style>
  <w:style w:type="paragraph" w:customStyle="1" w:styleId="Els-acknowledgement">
    <w:name w:val="Els-acknowledgement"/>
    <w:next w:val="Normal"/>
    <w:rsid w:val="009421F1"/>
    <w:pPr>
      <w:keepNext/>
      <w:spacing w:before="480" w:after="240" w:line="220" w:lineRule="exact"/>
    </w:pPr>
    <w:rPr>
      <w:rFonts w:ascii="Times New Roman" w:hAnsi="Times New Roman"/>
      <w:b/>
    </w:rPr>
  </w:style>
  <w:style w:type="paragraph" w:customStyle="1" w:styleId="Els-Affiliation">
    <w:name w:val="Els-Affiliation"/>
    <w:next w:val="Els-Abstract-head"/>
    <w:rsid w:val="009421F1"/>
    <w:pPr>
      <w:suppressAutoHyphens/>
      <w:spacing w:line="200" w:lineRule="exact"/>
      <w:jc w:val="center"/>
    </w:pPr>
    <w:rPr>
      <w:rFonts w:ascii="Times New Roman" w:hAnsi="Times New Roman"/>
      <w:i/>
      <w:noProof/>
      <w:sz w:val="16"/>
    </w:rPr>
  </w:style>
  <w:style w:type="paragraph" w:customStyle="1" w:styleId="Els-Author">
    <w:name w:val="Els-Author"/>
    <w:next w:val="Normal"/>
    <w:rsid w:val="009421F1"/>
    <w:pPr>
      <w:keepNext/>
      <w:suppressAutoHyphens/>
      <w:spacing w:after="160" w:line="300" w:lineRule="exact"/>
      <w:jc w:val="center"/>
    </w:pPr>
    <w:rPr>
      <w:rFonts w:ascii="Times New Roman" w:hAnsi="Times New Roman"/>
      <w:noProof/>
      <w:sz w:val="26"/>
    </w:rPr>
  </w:style>
  <w:style w:type="paragraph" w:customStyle="1" w:styleId="Els-body-text">
    <w:name w:val="Els-body-text"/>
    <w:rsid w:val="009421F1"/>
    <w:pPr>
      <w:keepNext/>
      <w:spacing w:line="240" w:lineRule="exact"/>
      <w:ind w:firstLine="238"/>
      <w:jc w:val="both"/>
    </w:pPr>
    <w:rPr>
      <w:rFonts w:ascii="Times New Roman" w:hAnsi="Times New Roman"/>
    </w:rPr>
  </w:style>
  <w:style w:type="paragraph" w:customStyle="1" w:styleId="Els-bulletlist">
    <w:name w:val="Els-bulletlist"/>
    <w:basedOn w:val="Els-body-text"/>
    <w:rsid w:val="009421F1"/>
    <w:pPr>
      <w:numPr>
        <w:numId w:val="5"/>
      </w:numPr>
      <w:tabs>
        <w:tab w:val="left" w:pos="240"/>
      </w:tabs>
      <w:jc w:val="left"/>
    </w:pPr>
  </w:style>
  <w:style w:type="paragraph" w:customStyle="1" w:styleId="Els-caption">
    <w:name w:val="Els-caption"/>
    <w:rsid w:val="009421F1"/>
    <w:pPr>
      <w:keepLines/>
      <w:spacing w:before="200" w:after="240" w:line="200" w:lineRule="exact"/>
    </w:pPr>
    <w:rPr>
      <w:rFonts w:ascii="Times New Roman" w:hAnsi="Times New Roman"/>
      <w:sz w:val="16"/>
    </w:rPr>
  </w:style>
  <w:style w:type="paragraph" w:customStyle="1" w:styleId="Els-equation">
    <w:name w:val="Els-equation"/>
    <w:next w:val="Els-body-text"/>
    <w:rsid w:val="009421F1"/>
    <w:pPr>
      <w:tabs>
        <w:tab w:val="right" w:pos="4320"/>
        <w:tab w:val="right" w:pos="9120"/>
      </w:tabs>
      <w:spacing w:before="120" w:after="120" w:line="220" w:lineRule="exact"/>
      <w:ind w:left="480"/>
    </w:pPr>
    <w:rPr>
      <w:rFonts w:ascii="Times New Roman" w:hAnsi="Times New Roman"/>
      <w:i/>
      <w:noProof/>
    </w:rPr>
  </w:style>
  <w:style w:type="paragraph" w:customStyle="1" w:styleId="Els-footnote">
    <w:name w:val="Els-footnote"/>
    <w:rsid w:val="009421F1"/>
    <w:pPr>
      <w:keepLines/>
      <w:widowControl w:val="0"/>
      <w:spacing w:line="200" w:lineRule="exact"/>
      <w:ind w:firstLine="240"/>
      <w:jc w:val="both"/>
    </w:pPr>
    <w:rPr>
      <w:rFonts w:ascii="Times New Roman" w:hAnsi="Times New Roman"/>
      <w:sz w:val="16"/>
    </w:rPr>
  </w:style>
  <w:style w:type="paragraph" w:customStyle="1" w:styleId="Els-history">
    <w:name w:val="Els-history"/>
    <w:next w:val="Normal"/>
    <w:rsid w:val="009421F1"/>
    <w:pPr>
      <w:spacing w:before="120" w:after="400" w:line="200" w:lineRule="exact"/>
      <w:jc w:val="center"/>
    </w:pPr>
    <w:rPr>
      <w:rFonts w:ascii="Times New Roman" w:hAnsi="Times New Roman"/>
      <w:noProof/>
      <w:sz w:val="16"/>
    </w:rPr>
  </w:style>
  <w:style w:type="paragraph" w:customStyle="1" w:styleId="Els-keywords">
    <w:name w:val="Els-keywords"/>
    <w:next w:val="Normal"/>
    <w:rsid w:val="009421F1"/>
    <w:pPr>
      <w:pBdr>
        <w:bottom w:val="single" w:sz="4" w:space="10" w:color="auto"/>
      </w:pBdr>
      <w:spacing w:after="200" w:line="200" w:lineRule="exact"/>
    </w:pPr>
    <w:rPr>
      <w:rFonts w:ascii="Times New Roman" w:hAnsi="Times New Roman"/>
      <w:noProof/>
      <w:sz w:val="16"/>
    </w:rPr>
  </w:style>
  <w:style w:type="paragraph" w:customStyle="1" w:styleId="Els-reference">
    <w:name w:val="Els-reference"/>
    <w:rsid w:val="009421F1"/>
    <w:pPr>
      <w:tabs>
        <w:tab w:val="left" w:pos="312"/>
      </w:tabs>
      <w:spacing w:line="200" w:lineRule="exact"/>
      <w:ind w:left="312" w:hanging="312"/>
    </w:pPr>
    <w:rPr>
      <w:rFonts w:ascii="Times New Roman" w:hAnsi="Times New Roman"/>
      <w:noProof/>
      <w:sz w:val="16"/>
    </w:rPr>
  </w:style>
  <w:style w:type="paragraph" w:customStyle="1" w:styleId="Els-reference-head">
    <w:name w:val="Els-reference-head"/>
    <w:next w:val="Els-reference"/>
    <w:rsid w:val="009421F1"/>
    <w:pPr>
      <w:keepNext/>
      <w:spacing w:before="480" w:after="200" w:line="220" w:lineRule="exact"/>
    </w:pPr>
    <w:rPr>
      <w:rFonts w:ascii="Times New Roman" w:hAnsi="Times New Roman"/>
      <w:b/>
    </w:rPr>
  </w:style>
  <w:style w:type="paragraph" w:customStyle="1" w:styleId="Els-table-text">
    <w:name w:val="Els-table-text"/>
    <w:rsid w:val="009421F1"/>
    <w:pPr>
      <w:keepNext/>
      <w:spacing w:after="80" w:line="200" w:lineRule="exact"/>
    </w:pPr>
    <w:rPr>
      <w:rFonts w:ascii="Times New Roman" w:hAnsi="Times New Roman"/>
      <w:sz w:val="16"/>
    </w:rPr>
  </w:style>
  <w:style w:type="paragraph" w:customStyle="1" w:styleId="Els-Title">
    <w:name w:val="Els-Title"/>
    <w:next w:val="Els-Author"/>
    <w:autoRedefine/>
    <w:rsid w:val="009421F1"/>
    <w:pPr>
      <w:suppressAutoHyphens/>
      <w:spacing w:before="100" w:beforeAutospacing="1" w:after="100" w:afterAutospacing="1" w:line="360" w:lineRule="auto"/>
      <w:jc w:val="center"/>
    </w:pPr>
    <w:rPr>
      <w:rFonts w:ascii="Times New Roman" w:hAnsi="Times New Roman"/>
      <w:b/>
      <w:bCs/>
      <w:sz w:val="36"/>
      <w:szCs w:val="36"/>
    </w:rPr>
  </w:style>
  <w:style w:type="paragraph" w:customStyle="1" w:styleId="Els-Abstract-Copyright">
    <w:name w:val="Els-Abstract-Copyright"/>
    <w:basedOn w:val="Els-Abstract-text"/>
    <w:rsid w:val="009421F1"/>
  </w:style>
  <w:style w:type="character" w:customStyle="1" w:styleId="Els-1storder-headChar">
    <w:name w:val="Els-1storder-head Char"/>
    <w:link w:val="Els-1storder-head"/>
    <w:rsid w:val="009421F1"/>
    <w:rPr>
      <w:rFonts w:ascii="Times New Roman" w:hAnsi="Times New Roman"/>
      <w:b/>
    </w:rPr>
  </w:style>
  <w:style w:type="paragraph" w:styleId="BodyText">
    <w:name w:val="Body Text"/>
    <w:basedOn w:val="Normal"/>
    <w:link w:val="BodyTextChar"/>
    <w:uiPriority w:val="1"/>
    <w:qFormat/>
    <w:rsid w:val="009421F1"/>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1"/>
    <w:rsid w:val="009421F1"/>
    <w:rPr>
      <w:rFonts w:ascii="Times New Roman" w:eastAsia="MS Mincho" w:hAnsi="Times New Roman"/>
      <w:spacing w:val="-1"/>
    </w:rPr>
  </w:style>
  <w:style w:type="paragraph" w:customStyle="1" w:styleId="references">
    <w:name w:val="references"/>
    <w:uiPriority w:val="99"/>
    <w:rsid w:val="009421F1"/>
    <w:pPr>
      <w:numPr>
        <w:numId w:val="7"/>
      </w:numPr>
      <w:spacing w:after="50" w:line="180" w:lineRule="exact"/>
      <w:jc w:val="both"/>
    </w:pPr>
    <w:rPr>
      <w:rFonts w:ascii="Times New Roman" w:hAnsi="Times New Roman"/>
      <w:noProof/>
      <w:sz w:val="16"/>
      <w:szCs w:val="16"/>
    </w:rPr>
  </w:style>
  <w:style w:type="character" w:styleId="FootnoteReference">
    <w:name w:val="footnote reference"/>
    <w:basedOn w:val="DefaultParagraphFont"/>
    <w:uiPriority w:val="99"/>
    <w:semiHidden/>
    <w:unhideWhenUsed/>
    <w:rsid w:val="009421F1"/>
    <w:rPr>
      <w:vertAlign w:val="superscript"/>
    </w:rPr>
  </w:style>
  <w:style w:type="table" w:customStyle="1" w:styleId="TableNormal1">
    <w:name w:val="Table Normal1"/>
    <w:uiPriority w:val="2"/>
    <w:semiHidden/>
    <w:unhideWhenUsed/>
    <w:qFormat/>
    <w:rsid w:val="009421F1"/>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9421F1"/>
    <w:pPr>
      <w:widowControl w:val="0"/>
      <w:ind w:left="120"/>
      <w:jc w:val="left"/>
      <w:outlineLvl w:val="1"/>
    </w:pPr>
    <w:rPr>
      <w:rFonts w:ascii="Arial" w:eastAsia="Arial" w:hAnsi="Arial" w:cstheme="minorBidi"/>
      <w:b/>
      <w:bCs/>
      <w:sz w:val="28"/>
      <w:szCs w:val="28"/>
    </w:rPr>
  </w:style>
  <w:style w:type="paragraph" w:customStyle="1" w:styleId="Heading21">
    <w:name w:val="Heading 21"/>
    <w:basedOn w:val="Normal"/>
    <w:uiPriority w:val="1"/>
    <w:qFormat/>
    <w:rsid w:val="009421F1"/>
    <w:pPr>
      <w:widowControl w:val="0"/>
      <w:ind w:left="120"/>
      <w:jc w:val="left"/>
      <w:outlineLvl w:val="2"/>
    </w:pPr>
    <w:rPr>
      <w:rFonts w:ascii="Arial" w:eastAsia="Arial" w:hAnsi="Arial" w:cstheme="minorBidi"/>
      <w:b/>
      <w:bCs/>
      <w:sz w:val="24"/>
      <w:szCs w:val="24"/>
    </w:rPr>
  </w:style>
  <w:style w:type="paragraph" w:styleId="ListParagraph">
    <w:name w:val="List Paragraph"/>
    <w:basedOn w:val="Normal"/>
    <w:uiPriority w:val="34"/>
    <w:qFormat/>
    <w:rsid w:val="009421F1"/>
    <w:pPr>
      <w:widowControl w:val="0"/>
      <w:jc w:val="left"/>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9421F1"/>
    <w:pPr>
      <w:widowControl w:val="0"/>
      <w:jc w:val="left"/>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421F1"/>
    <w:rPr>
      <w:color w:val="808080"/>
    </w:rPr>
  </w:style>
  <w:style w:type="character" w:customStyle="1" w:styleId="st">
    <w:name w:val="st"/>
    <w:basedOn w:val="DefaultParagraphFont"/>
    <w:rsid w:val="009421F1"/>
  </w:style>
  <w:style w:type="character" w:styleId="Emphasis">
    <w:name w:val="Emphasis"/>
    <w:basedOn w:val="DefaultParagraphFont"/>
    <w:uiPriority w:val="20"/>
    <w:qFormat/>
    <w:rsid w:val="009421F1"/>
    <w:rPr>
      <w:i/>
      <w:iCs/>
    </w:rPr>
  </w:style>
</w:styles>
</file>

<file path=word/webSettings.xml><?xml version="1.0" encoding="utf-8"?>
<w:webSettings xmlns:r="http://schemas.openxmlformats.org/officeDocument/2006/relationships" xmlns:w="http://schemas.openxmlformats.org/wordprocessingml/2006/main">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j.sums.ac.ir/vol5aprl200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dullahiykoki77@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itor@asrjetsjournal.org" TargetMode="External"/><Relationship Id="rId4" Type="http://schemas.openxmlformats.org/officeDocument/2006/relationships/webSettings" Target="webSettings.xml"/><Relationship Id="rId9" Type="http://schemas.openxmlformats.org/officeDocument/2006/relationships/hyperlink" Target="http://gssrr.org/index.php?journal=gssrr&amp;page=index"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15</Pages>
  <Words>6474</Words>
  <Characters>36907</Characters>
  <Application>Microsoft Office Word</Application>
  <DocSecurity>0</DocSecurity>
  <Lines>307</Lines>
  <Paragraphs>86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43295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ABDULLAHI</cp:lastModifiedBy>
  <cp:revision>31</cp:revision>
  <dcterms:created xsi:type="dcterms:W3CDTF">2013-07-26T12:24:00Z</dcterms:created>
  <dcterms:modified xsi:type="dcterms:W3CDTF">2014-11-14T15:42:00Z</dcterms:modified>
</cp:coreProperties>
</file>