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521" w:rsidRPr="004E0547" w:rsidRDefault="00EF78CA" w:rsidP="00780521">
      <w:pPr>
        <w:pStyle w:val="Els-Title"/>
        <w:rPr>
          <w:rFonts w:asciiTheme="majorBidi" w:hAnsiTheme="majorBidi" w:cstheme="majorBidi"/>
        </w:rPr>
      </w:pPr>
      <w:r w:rsidRPr="00EF78CA">
        <w:rPr>
          <w:rFonts w:asciiTheme="majorBidi" w:hAnsiTheme="majorBidi" w:cstheme="majorBidi"/>
        </w:rPr>
        <w:t>Gene expression of P53 and Bcl-2 as markers of prostate cancer progression</w:t>
      </w:r>
      <w:r w:rsidR="00780521" w:rsidRPr="004E0547">
        <w:rPr>
          <w:rFonts w:asciiTheme="majorBidi" w:hAnsiTheme="majorBidi" w:cstheme="majorBidi"/>
        </w:rPr>
        <w:t xml:space="preserve"> </w:t>
      </w:r>
    </w:p>
    <w:p w:rsidR="00780521" w:rsidRPr="004E0547" w:rsidRDefault="00EF78CA" w:rsidP="00780521">
      <w:pPr>
        <w:pStyle w:val="Els-Author"/>
        <w:spacing w:before="100" w:beforeAutospacing="1" w:after="100" w:afterAutospacing="1" w:line="360" w:lineRule="auto"/>
        <w:rPr>
          <w:rFonts w:asciiTheme="majorBidi" w:hAnsiTheme="majorBidi" w:cstheme="majorBidi"/>
          <w:sz w:val="28"/>
          <w:szCs w:val="28"/>
        </w:rPr>
      </w:pPr>
      <w:r w:rsidRPr="00EF78CA">
        <w:rPr>
          <w:rFonts w:asciiTheme="majorBidi" w:hAnsiTheme="majorBidi" w:cstheme="majorBidi"/>
          <w:sz w:val="28"/>
          <w:szCs w:val="28"/>
        </w:rPr>
        <w:t>Bungaran Sihombing</w:t>
      </w:r>
      <w:r w:rsidRPr="00EF78CA">
        <w:rPr>
          <w:rFonts w:asciiTheme="majorBidi" w:hAnsiTheme="majorBidi" w:cstheme="majorBidi"/>
          <w:sz w:val="28"/>
          <w:szCs w:val="28"/>
          <w:vertAlign w:val="superscript"/>
        </w:rPr>
        <w:t>1</w:t>
      </w:r>
      <w:r w:rsidRPr="00EF78CA">
        <w:rPr>
          <w:rFonts w:asciiTheme="majorBidi" w:hAnsiTheme="majorBidi" w:cstheme="majorBidi"/>
          <w:sz w:val="28"/>
          <w:szCs w:val="28"/>
        </w:rPr>
        <w:t xml:space="preserve"> , Sumaryati Syukur</w:t>
      </w:r>
      <w:r w:rsidRPr="00EF78CA">
        <w:rPr>
          <w:rFonts w:asciiTheme="majorBidi" w:hAnsiTheme="majorBidi" w:cstheme="majorBidi"/>
          <w:sz w:val="28"/>
          <w:szCs w:val="28"/>
          <w:vertAlign w:val="superscript"/>
        </w:rPr>
        <w:t>2</w:t>
      </w:r>
      <w:r w:rsidRPr="00EF78CA">
        <w:rPr>
          <w:rFonts w:asciiTheme="majorBidi" w:hAnsiTheme="majorBidi" w:cstheme="majorBidi"/>
          <w:sz w:val="28"/>
          <w:szCs w:val="28"/>
        </w:rPr>
        <w:t>, Sanusi Ibrahim</w:t>
      </w:r>
      <w:r w:rsidRPr="00EF78CA">
        <w:rPr>
          <w:rFonts w:asciiTheme="majorBidi" w:hAnsiTheme="majorBidi" w:cstheme="majorBidi"/>
          <w:sz w:val="28"/>
          <w:szCs w:val="28"/>
          <w:vertAlign w:val="superscript"/>
        </w:rPr>
        <w:t>3</w:t>
      </w:r>
      <w:r w:rsidRPr="00EF78CA">
        <w:rPr>
          <w:rFonts w:asciiTheme="majorBidi" w:hAnsiTheme="majorBidi" w:cstheme="majorBidi"/>
          <w:sz w:val="28"/>
          <w:szCs w:val="28"/>
        </w:rPr>
        <w:t>, Djong Hon Cong</w:t>
      </w:r>
      <w:r w:rsidRPr="00EF78CA">
        <w:rPr>
          <w:rFonts w:asciiTheme="majorBidi" w:hAnsiTheme="majorBidi" w:cstheme="majorBidi"/>
          <w:sz w:val="28"/>
          <w:szCs w:val="28"/>
          <w:vertAlign w:val="superscript"/>
        </w:rPr>
        <w:t>4</w:t>
      </w:r>
      <w:r w:rsidRPr="00EF78CA">
        <w:rPr>
          <w:rFonts w:asciiTheme="majorBidi" w:hAnsiTheme="majorBidi" w:cstheme="majorBidi"/>
          <w:sz w:val="28"/>
          <w:szCs w:val="28"/>
        </w:rPr>
        <w:t>, and Didik Setyoheryanto</w:t>
      </w:r>
      <w:r w:rsidRPr="00EF78CA">
        <w:rPr>
          <w:rFonts w:asciiTheme="majorBidi" w:hAnsiTheme="majorBidi" w:cstheme="majorBidi"/>
          <w:sz w:val="28"/>
          <w:szCs w:val="28"/>
          <w:vertAlign w:val="superscript"/>
        </w:rPr>
        <w:t>5</w:t>
      </w:r>
    </w:p>
    <w:p w:rsidR="00EF78CA" w:rsidRPr="00EF78CA" w:rsidRDefault="00EF78CA" w:rsidP="00EF78CA">
      <w:pPr>
        <w:spacing w:after="0" w:line="360" w:lineRule="auto"/>
        <w:jc w:val="center"/>
        <w:rPr>
          <w:rFonts w:asciiTheme="majorBidi" w:hAnsiTheme="majorBidi" w:cstheme="majorBidi"/>
          <w:i/>
          <w:iCs/>
          <w:sz w:val="20"/>
          <w:szCs w:val="20"/>
        </w:rPr>
      </w:pPr>
      <w:r w:rsidRPr="00EF78CA">
        <w:rPr>
          <w:rFonts w:asciiTheme="majorBidi" w:hAnsiTheme="majorBidi" w:cstheme="majorBidi"/>
          <w:i/>
          <w:iCs/>
          <w:sz w:val="20"/>
          <w:szCs w:val="20"/>
          <w:vertAlign w:val="superscript"/>
        </w:rPr>
        <w:t>1</w:t>
      </w:r>
      <w:r>
        <w:rPr>
          <w:rFonts w:asciiTheme="majorBidi" w:hAnsiTheme="majorBidi" w:cstheme="majorBidi"/>
          <w:i/>
          <w:iCs/>
          <w:sz w:val="20"/>
          <w:szCs w:val="20"/>
        </w:rPr>
        <w:t xml:space="preserve"> </w:t>
      </w:r>
      <w:r w:rsidRPr="00EF78CA">
        <w:rPr>
          <w:rFonts w:asciiTheme="majorBidi" w:hAnsiTheme="majorBidi" w:cstheme="majorBidi"/>
          <w:i/>
          <w:iCs/>
          <w:sz w:val="20"/>
          <w:szCs w:val="20"/>
        </w:rPr>
        <w:t>Division of Urology, Faculty of Medicine, Prima University Medan, Indonesia </w:t>
      </w:r>
    </w:p>
    <w:p w:rsidR="00EF78CA" w:rsidRPr="00EF78CA" w:rsidRDefault="00EF78CA" w:rsidP="00EF78CA">
      <w:pPr>
        <w:spacing w:after="0" w:line="360" w:lineRule="auto"/>
        <w:jc w:val="center"/>
        <w:rPr>
          <w:rFonts w:asciiTheme="majorBidi" w:hAnsiTheme="majorBidi" w:cstheme="majorBidi"/>
          <w:i/>
          <w:iCs/>
          <w:sz w:val="20"/>
          <w:szCs w:val="20"/>
        </w:rPr>
      </w:pPr>
      <w:r w:rsidRPr="00EF78CA">
        <w:rPr>
          <w:rFonts w:asciiTheme="majorBidi" w:hAnsiTheme="majorBidi" w:cstheme="majorBidi"/>
          <w:i/>
          <w:iCs/>
          <w:sz w:val="20"/>
          <w:szCs w:val="20"/>
          <w:vertAlign w:val="superscript"/>
        </w:rPr>
        <w:t>2</w:t>
      </w:r>
      <w:r>
        <w:rPr>
          <w:rFonts w:asciiTheme="majorBidi" w:hAnsiTheme="majorBidi" w:cstheme="majorBidi"/>
          <w:i/>
          <w:iCs/>
          <w:sz w:val="20"/>
          <w:szCs w:val="20"/>
        </w:rPr>
        <w:t xml:space="preserve"> </w:t>
      </w:r>
      <w:r w:rsidRPr="00EF78CA">
        <w:rPr>
          <w:rFonts w:asciiTheme="majorBidi" w:hAnsiTheme="majorBidi" w:cstheme="majorBidi"/>
          <w:i/>
          <w:iCs/>
          <w:sz w:val="20"/>
          <w:szCs w:val="20"/>
        </w:rPr>
        <w:t xml:space="preserve">Department of Chemistry, Faculty of Mathematics and Natural Sciences, </w:t>
      </w:r>
      <w:proofErr w:type="spellStart"/>
      <w:r w:rsidRPr="00EF78CA">
        <w:rPr>
          <w:rFonts w:asciiTheme="majorBidi" w:hAnsiTheme="majorBidi" w:cstheme="majorBidi"/>
          <w:i/>
          <w:iCs/>
          <w:sz w:val="20"/>
          <w:szCs w:val="20"/>
        </w:rPr>
        <w:t>Andalas</w:t>
      </w:r>
      <w:proofErr w:type="spellEnd"/>
      <w:r w:rsidRPr="00EF78CA">
        <w:rPr>
          <w:rFonts w:asciiTheme="majorBidi" w:hAnsiTheme="majorBidi" w:cstheme="majorBidi"/>
          <w:i/>
          <w:iCs/>
          <w:sz w:val="20"/>
          <w:szCs w:val="20"/>
        </w:rPr>
        <w:t xml:space="preserve"> University, Padang, Indonesia</w:t>
      </w:r>
    </w:p>
    <w:p w:rsidR="00EF78CA" w:rsidRPr="00EF78CA" w:rsidRDefault="00EF78CA" w:rsidP="00EF78CA">
      <w:pPr>
        <w:spacing w:after="0" w:line="360" w:lineRule="auto"/>
        <w:jc w:val="center"/>
        <w:rPr>
          <w:rFonts w:asciiTheme="majorBidi" w:hAnsiTheme="majorBidi" w:cstheme="majorBidi"/>
          <w:i/>
          <w:iCs/>
          <w:sz w:val="20"/>
          <w:szCs w:val="20"/>
        </w:rPr>
      </w:pPr>
      <w:r w:rsidRPr="00EF78CA">
        <w:rPr>
          <w:rFonts w:asciiTheme="majorBidi" w:hAnsiTheme="majorBidi" w:cstheme="majorBidi"/>
          <w:i/>
          <w:iCs/>
          <w:sz w:val="20"/>
          <w:szCs w:val="20"/>
          <w:vertAlign w:val="superscript"/>
        </w:rPr>
        <w:t>3</w:t>
      </w:r>
      <w:r>
        <w:rPr>
          <w:rFonts w:asciiTheme="majorBidi" w:hAnsiTheme="majorBidi" w:cstheme="majorBidi"/>
          <w:i/>
          <w:iCs/>
          <w:sz w:val="20"/>
          <w:szCs w:val="20"/>
        </w:rPr>
        <w:t xml:space="preserve"> </w:t>
      </w:r>
      <w:r w:rsidRPr="00EF78CA">
        <w:rPr>
          <w:rFonts w:asciiTheme="majorBidi" w:hAnsiTheme="majorBidi" w:cstheme="majorBidi"/>
          <w:i/>
          <w:iCs/>
          <w:sz w:val="20"/>
          <w:szCs w:val="20"/>
        </w:rPr>
        <w:t xml:space="preserve">Department of Chemistry, Faculty of Mathematics and Natural Sciences, </w:t>
      </w:r>
      <w:proofErr w:type="spellStart"/>
      <w:r w:rsidRPr="00EF78CA">
        <w:rPr>
          <w:rFonts w:asciiTheme="majorBidi" w:hAnsiTheme="majorBidi" w:cstheme="majorBidi"/>
          <w:i/>
          <w:iCs/>
          <w:sz w:val="20"/>
          <w:szCs w:val="20"/>
        </w:rPr>
        <w:t>Andalas</w:t>
      </w:r>
      <w:proofErr w:type="spellEnd"/>
      <w:r w:rsidRPr="00EF78CA">
        <w:rPr>
          <w:rFonts w:asciiTheme="majorBidi" w:hAnsiTheme="majorBidi" w:cstheme="majorBidi"/>
          <w:i/>
          <w:iCs/>
          <w:sz w:val="20"/>
          <w:szCs w:val="20"/>
        </w:rPr>
        <w:t xml:space="preserve"> University, Padang, Indonesia</w:t>
      </w:r>
    </w:p>
    <w:p w:rsidR="00EF78CA" w:rsidRPr="00EF78CA" w:rsidRDefault="00EF78CA" w:rsidP="00EF78CA">
      <w:pPr>
        <w:spacing w:after="0" w:line="360" w:lineRule="auto"/>
        <w:jc w:val="center"/>
        <w:rPr>
          <w:rFonts w:asciiTheme="majorBidi" w:hAnsiTheme="majorBidi" w:cstheme="majorBidi"/>
          <w:i/>
          <w:iCs/>
          <w:sz w:val="20"/>
          <w:szCs w:val="20"/>
        </w:rPr>
      </w:pPr>
      <w:r w:rsidRPr="00EF78CA">
        <w:rPr>
          <w:rFonts w:asciiTheme="majorBidi" w:hAnsiTheme="majorBidi" w:cstheme="majorBidi"/>
          <w:i/>
          <w:iCs/>
          <w:sz w:val="20"/>
          <w:szCs w:val="20"/>
          <w:vertAlign w:val="superscript"/>
        </w:rPr>
        <w:t xml:space="preserve">4 </w:t>
      </w:r>
      <w:r w:rsidRPr="00EF78CA">
        <w:rPr>
          <w:rFonts w:asciiTheme="majorBidi" w:hAnsiTheme="majorBidi" w:cstheme="majorBidi"/>
          <w:i/>
          <w:iCs/>
          <w:sz w:val="20"/>
          <w:szCs w:val="20"/>
        </w:rPr>
        <w:t xml:space="preserve">Department of Biology, Faculty of Mathematics and Natural Sciences, </w:t>
      </w:r>
      <w:proofErr w:type="spellStart"/>
      <w:r w:rsidRPr="00EF78CA">
        <w:rPr>
          <w:rFonts w:asciiTheme="majorBidi" w:hAnsiTheme="majorBidi" w:cstheme="majorBidi"/>
          <w:i/>
          <w:iCs/>
          <w:sz w:val="20"/>
          <w:szCs w:val="20"/>
        </w:rPr>
        <w:t>Andalas</w:t>
      </w:r>
      <w:proofErr w:type="spellEnd"/>
      <w:r w:rsidRPr="00EF78CA">
        <w:rPr>
          <w:rFonts w:asciiTheme="majorBidi" w:hAnsiTheme="majorBidi" w:cstheme="majorBidi"/>
          <w:i/>
          <w:iCs/>
          <w:sz w:val="20"/>
          <w:szCs w:val="20"/>
        </w:rPr>
        <w:t xml:space="preserve"> University, Padang, Indonesia</w:t>
      </w:r>
    </w:p>
    <w:p w:rsidR="00780521" w:rsidRPr="004E0547" w:rsidRDefault="00EF78CA" w:rsidP="00EF78CA">
      <w:pPr>
        <w:spacing w:after="0" w:line="360" w:lineRule="auto"/>
        <w:jc w:val="center"/>
        <w:rPr>
          <w:rFonts w:asciiTheme="majorBidi" w:hAnsiTheme="majorBidi" w:cstheme="majorBidi"/>
          <w:i/>
          <w:iCs/>
          <w:sz w:val="20"/>
          <w:szCs w:val="20"/>
        </w:rPr>
      </w:pPr>
      <w:r w:rsidRPr="00EF78CA">
        <w:rPr>
          <w:rFonts w:asciiTheme="majorBidi" w:hAnsiTheme="majorBidi" w:cstheme="majorBidi"/>
          <w:i/>
          <w:iCs/>
          <w:sz w:val="20"/>
          <w:szCs w:val="20"/>
          <w:vertAlign w:val="superscript"/>
        </w:rPr>
        <w:t>5</w:t>
      </w:r>
      <w:r>
        <w:rPr>
          <w:rFonts w:asciiTheme="majorBidi" w:hAnsiTheme="majorBidi" w:cstheme="majorBidi"/>
          <w:i/>
          <w:iCs/>
          <w:sz w:val="20"/>
          <w:szCs w:val="20"/>
        </w:rPr>
        <w:t xml:space="preserve"> </w:t>
      </w:r>
      <w:r w:rsidRPr="00EF78CA">
        <w:rPr>
          <w:rFonts w:asciiTheme="majorBidi" w:hAnsiTheme="majorBidi" w:cstheme="majorBidi"/>
          <w:i/>
          <w:iCs/>
          <w:sz w:val="20"/>
          <w:szCs w:val="20"/>
        </w:rPr>
        <w:t xml:space="preserve">Division of Pathology Anatomy Gajah </w:t>
      </w:r>
      <w:proofErr w:type="spellStart"/>
      <w:r w:rsidRPr="00EF78CA">
        <w:rPr>
          <w:rFonts w:asciiTheme="majorBidi" w:hAnsiTheme="majorBidi" w:cstheme="majorBidi"/>
          <w:i/>
          <w:iCs/>
          <w:sz w:val="20"/>
          <w:szCs w:val="20"/>
        </w:rPr>
        <w:t>Mada</w:t>
      </w:r>
      <w:proofErr w:type="spellEnd"/>
      <w:r w:rsidRPr="00EF78CA">
        <w:rPr>
          <w:rFonts w:asciiTheme="majorBidi" w:hAnsiTheme="majorBidi" w:cstheme="majorBidi"/>
          <w:i/>
          <w:iCs/>
          <w:sz w:val="20"/>
          <w:szCs w:val="20"/>
        </w:rPr>
        <w:t xml:space="preserve"> University Yogyakarta, Indonesia</w:t>
      </w:r>
    </w:p>
    <w:p w:rsidR="00780521" w:rsidRPr="00EF78CA"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EF78CA">
        <w:rPr>
          <w:rFonts w:asciiTheme="majorBidi" w:hAnsiTheme="majorBidi" w:cstheme="majorBidi"/>
          <w:b/>
          <w:bCs/>
          <w:i w:val="0"/>
          <w:iCs/>
          <w:sz w:val="20"/>
        </w:rPr>
        <w:t>Abstract</w:t>
      </w:r>
    </w:p>
    <w:p w:rsidR="00EF78CA" w:rsidRPr="00EF78CA" w:rsidRDefault="002F5023" w:rsidP="00EF78CA">
      <w:pPr>
        <w:pStyle w:val="Els-Abstract-text"/>
        <w:spacing w:before="100" w:beforeAutospacing="1" w:after="100" w:afterAutospacing="1" w:line="360" w:lineRule="auto"/>
        <w:rPr>
          <w:rFonts w:asciiTheme="majorBidi" w:hAnsiTheme="majorBidi" w:cstheme="majorBidi"/>
          <w:bCs/>
          <w:sz w:val="20"/>
        </w:rPr>
      </w:pPr>
      <w:r w:rsidRPr="00EF78CA">
        <w:rPr>
          <w:rFonts w:asciiTheme="majorBidi" w:hAnsiTheme="majorBidi" w:cstheme="majorBidi"/>
          <w:bCs/>
          <w:sz w:val="20"/>
        </w:rPr>
        <w:t>Introduction: Apoptotic</w:t>
      </w:r>
      <w:r w:rsidR="00EF78CA" w:rsidRPr="00EF78CA">
        <w:rPr>
          <w:rFonts w:asciiTheme="majorBidi" w:hAnsiTheme="majorBidi" w:cstheme="majorBidi"/>
          <w:bCs/>
          <w:sz w:val="20"/>
        </w:rPr>
        <w:t xml:space="preserve"> genes regulate apoptosis by the action of their pro- and antiapoptotic products. Among the most important proteins are p53 and Bcl-2 proteins. The rate of </w:t>
      </w:r>
      <w:r w:rsidR="00076AFE" w:rsidRPr="00EF78CA">
        <w:rPr>
          <w:rFonts w:asciiTheme="majorBidi" w:hAnsiTheme="majorBidi" w:cstheme="majorBidi"/>
          <w:bCs/>
          <w:sz w:val="20"/>
        </w:rPr>
        <w:t>tumor</w:t>
      </w:r>
      <w:r w:rsidR="00EF78CA" w:rsidRPr="00EF78CA">
        <w:rPr>
          <w:rFonts w:asciiTheme="majorBidi" w:hAnsiTheme="majorBidi" w:cstheme="majorBidi"/>
          <w:bCs/>
          <w:sz w:val="20"/>
        </w:rPr>
        <w:t xml:space="preserve"> growth is dependent on the balance between proliferation and apoptosis at all stages of carcinogenesis. The differential expression of these apoptotic genes </w:t>
      </w:r>
      <w:bookmarkStart w:id="0" w:name="_GoBack"/>
      <w:bookmarkEnd w:id="0"/>
      <w:r w:rsidRPr="00EF78CA">
        <w:rPr>
          <w:rFonts w:asciiTheme="majorBidi" w:hAnsiTheme="majorBidi" w:cstheme="majorBidi"/>
          <w:bCs/>
          <w:sz w:val="20"/>
        </w:rPr>
        <w:t>was</w:t>
      </w:r>
      <w:r w:rsidR="00EF78CA" w:rsidRPr="00EF78CA">
        <w:rPr>
          <w:rFonts w:asciiTheme="majorBidi" w:hAnsiTheme="majorBidi" w:cstheme="majorBidi"/>
          <w:bCs/>
          <w:sz w:val="20"/>
        </w:rPr>
        <w:t xml:space="preserve"> analyzed in relation to clinicopathological criteria as Gleason Score in man with Prostate Cancer. </w:t>
      </w:r>
    </w:p>
    <w:p w:rsidR="00EF78CA" w:rsidRPr="00EF78CA" w:rsidRDefault="00EF78CA" w:rsidP="00EF78CA">
      <w:pPr>
        <w:pStyle w:val="Els-Abstract-text"/>
        <w:spacing w:before="100" w:beforeAutospacing="1" w:after="100" w:afterAutospacing="1" w:line="360" w:lineRule="auto"/>
        <w:rPr>
          <w:rFonts w:asciiTheme="majorBidi" w:hAnsiTheme="majorBidi" w:cstheme="majorBidi"/>
          <w:bCs/>
          <w:sz w:val="20"/>
        </w:rPr>
      </w:pPr>
      <w:r w:rsidRPr="00EF78CA">
        <w:rPr>
          <w:rFonts w:asciiTheme="majorBidi" w:hAnsiTheme="majorBidi" w:cstheme="majorBidi"/>
          <w:bCs/>
          <w:sz w:val="20"/>
        </w:rPr>
        <w:t xml:space="preserve">Patients and </w:t>
      </w:r>
      <w:r w:rsidR="00076AFE" w:rsidRPr="00EF78CA">
        <w:rPr>
          <w:rFonts w:asciiTheme="majorBidi" w:hAnsiTheme="majorBidi" w:cstheme="majorBidi"/>
          <w:bCs/>
          <w:sz w:val="20"/>
        </w:rPr>
        <w:t>Methods: Every</w:t>
      </w:r>
      <w:r w:rsidRPr="00EF78CA">
        <w:rPr>
          <w:rFonts w:asciiTheme="majorBidi" w:hAnsiTheme="majorBidi" w:cstheme="majorBidi"/>
          <w:bCs/>
          <w:sz w:val="20"/>
        </w:rPr>
        <w:t xml:space="preserve"> prostate cancer patient who underwent histopathology examination which fulfill the criteria were included in the study. Samples then rearrange into low Gleason Score (2-6) and high Gleason Score (7-10). All samples then underwent gene expression assay for p53 and bcl-2 to be analyzed for each’s relationship with each group. The aim of this study was to evaluate tumor proliferation and the expression of the proto-</w:t>
      </w:r>
      <w:r w:rsidR="00076AFE" w:rsidRPr="00EF78CA">
        <w:rPr>
          <w:rFonts w:asciiTheme="majorBidi" w:hAnsiTheme="majorBidi" w:cstheme="majorBidi"/>
          <w:bCs/>
          <w:sz w:val="20"/>
        </w:rPr>
        <w:t>oncogene</w:t>
      </w:r>
      <w:r w:rsidRPr="00EF78CA">
        <w:rPr>
          <w:rFonts w:asciiTheme="majorBidi" w:hAnsiTheme="majorBidi" w:cstheme="majorBidi"/>
          <w:bCs/>
          <w:sz w:val="20"/>
        </w:rPr>
        <w:t xml:space="preserve"> Bcl-2 and tumor suppressor gene p53 in patients undergoing transurethral prostatectomy for prostate cancer, and to define their prognostic roles through correlation with final Gleason score, using </w:t>
      </w:r>
      <w:proofErr w:type="spellStart"/>
      <w:r w:rsidRPr="00EF78CA">
        <w:rPr>
          <w:rFonts w:asciiTheme="majorBidi" w:hAnsiTheme="majorBidi" w:cstheme="majorBidi"/>
          <w:bCs/>
          <w:sz w:val="20"/>
        </w:rPr>
        <w:t>qRTPCR</w:t>
      </w:r>
      <w:proofErr w:type="spellEnd"/>
      <w:r w:rsidRPr="00EF78CA">
        <w:rPr>
          <w:rFonts w:asciiTheme="majorBidi" w:hAnsiTheme="majorBidi" w:cstheme="majorBidi"/>
          <w:bCs/>
          <w:sz w:val="20"/>
        </w:rPr>
        <w:t>.</w:t>
      </w:r>
    </w:p>
    <w:p w:rsidR="00EF78CA" w:rsidRPr="00EF78CA" w:rsidRDefault="00EF78CA" w:rsidP="00EF78CA">
      <w:pPr>
        <w:pStyle w:val="Els-Abstract-text"/>
        <w:spacing w:before="100" w:beforeAutospacing="1" w:after="100" w:afterAutospacing="1" w:line="360" w:lineRule="auto"/>
        <w:rPr>
          <w:rFonts w:asciiTheme="majorBidi" w:hAnsiTheme="majorBidi" w:cstheme="majorBidi"/>
          <w:bCs/>
          <w:sz w:val="20"/>
        </w:rPr>
      </w:pPr>
      <w:r w:rsidRPr="00EF78CA">
        <w:rPr>
          <w:rFonts w:asciiTheme="majorBidi" w:hAnsiTheme="majorBidi" w:cstheme="majorBidi"/>
          <w:bCs/>
          <w:sz w:val="20"/>
        </w:rPr>
        <w:t xml:space="preserve">Results: A total of 40 samples consisting of 28 GS (2-6) and 12 GS (7-10) samples were included in the study. There was a significant mean difference between p53 mRNA in the GS 2-6 and 7-10 groups (p &lt;0.001), but not for bcl-2 mRNA. Based on a multivariate analysis, </w:t>
      </w:r>
      <w:r w:rsidR="002F5023" w:rsidRPr="00EF78CA">
        <w:rPr>
          <w:rFonts w:asciiTheme="majorBidi" w:hAnsiTheme="majorBidi" w:cstheme="majorBidi"/>
          <w:bCs/>
          <w:sz w:val="20"/>
        </w:rPr>
        <w:t>only</w:t>
      </w:r>
      <w:r w:rsidRPr="00EF78CA">
        <w:rPr>
          <w:rFonts w:asciiTheme="majorBidi" w:hAnsiTheme="majorBidi" w:cstheme="majorBidi"/>
          <w:bCs/>
          <w:sz w:val="20"/>
        </w:rPr>
        <w:t xml:space="preserve"> p53 mRNA had a significant association with the GS group in Adenocarcinoma Prostate with p = 0.014, 95% CI 0.926-0.991 with a predicted value of 77.5%.</w:t>
      </w:r>
    </w:p>
    <w:p w:rsidR="00780521" w:rsidRPr="00EF78CA" w:rsidRDefault="00EF78CA" w:rsidP="00EF78CA">
      <w:pPr>
        <w:pStyle w:val="Els-Abstract-text"/>
        <w:spacing w:before="100" w:beforeAutospacing="1" w:after="100" w:afterAutospacing="1" w:line="360" w:lineRule="auto"/>
        <w:rPr>
          <w:rFonts w:asciiTheme="majorBidi" w:hAnsiTheme="majorBidi" w:cstheme="majorBidi"/>
          <w:sz w:val="20"/>
        </w:rPr>
      </w:pPr>
      <w:r w:rsidRPr="00EF78CA">
        <w:rPr>
          <w:rFonts w:asciiTheme="majorBidi" w:hAnsiTheme="majorBidi" w:cstheme="majorBidi"/>
          <w:bCs/>
          <w:sz w:val="20"/>
        </w:rPr>
        <w:lastRenderedPageBreak/>
        <w:t>Conclusion: p53 mRNA is an independent predictive factor of Gleason Score-based progression of adenocarcinoma</w:t>
      </w:r>
      <w:r w:rsidR="00076AFE">
        <w:rPr>
          <w:rFonts w:asciiTheme="majorBidi" w:hAnsiTheme="majorBidi" w:cstheme="majorBidi"/>
          <w:bCs/>
          <w:sz w:val="20"/>
        </w:rPr>
        <w:t xml:space="preserve"> </w:t>
      </w:r>
      <w:r w:rsidRPr="00EF78CA">
        <w:rPr>
          <w:rFonts w:asciiTheme="majorBidi" w:hAnsiTheme="majorBidi" w:cstheme="majorBidi"/>
          <w:bCs/>
          <w:sz w:val="20"/>
        </w:rPr>
        <w:t>Prostate</w:t>
      </w:r>
      <w:r w:rsidR="00076AFE">
        <w:rPr>
          <w:rFonts w:asciiTheme="majorBidi" w:hAnsiTheme="majorBidi" w:cstheme="majorBidi"/>
          <w:sz w:val="20"/>
        </w:rPr>
        <w:t>.</w:t>
      </w:r>
    </w:p>
    <w:p w:rsidR="00EF78CA" w:rsidRDefault="00780521" w:rsidP="00EF78CA">
      <w:pPr>
        <w:pStyle w:val="Els-Abstract-Copyright"/>
        <w:spacing w:before="100" w:beforeAutospacing="1" w:after="100" w:afterAutospacing="1" w:line="360" w:lineRule="auto"/>
        <w:rPr>
          <w:rFonts w:asciiTheme="majorBidi" w:hAnsiTheme="majorBidi" w:cstheme="majorBidi"/>
          <w:sz w:val="20"/>
        </w:rPr>
      </w:pPr>
      <w:r w:rsidRPr="00EF78CA">
        <w:rPr>
          <w:rFonts w:asciiTheme="majorBidi" w:hAnsiTheme="majorBidi" w:cstheme="majorBidi"/>
          <w:b/>
          <w:bCs/>
          <w:i/>
          <w:iCs/>
          <w:sz w:val="20"/>
        </w:rPr>
        <w:t>Keywords:</w:t>
      </w:r>
      <w:r w:rsidRPr="00EF78CA">
        <w:rPr>
          <w:rFonts w:asciiTheme="majorBidi" w:hAnsiTheme="majorBidi" w:cstheme="majorBidi"/>
          <w:sz w:val="20"/>
        </w:rPr>
        <w:t xml:space="preserve"> </w:t>
      </w:r>
      <w:r w:rsidR="00EF78CA">
        <w:rPr>
          <w:rFonts w:asciiTheme="majorBidi" w:hAnsiTheme="majorBidi" w:cstheme="majorBidi"/>
          <w:sz w:val="20"/>
        </w:rPr>
        <w:t xml:space="preserve">Prostate cancer; p53; bcl-2; gene expression; </w:t>
      </w:r>
      <w:proofErr w:type="spellStart"/>
      <w:r w:rsidR="00EF78CA">
        <w:rPr>
          <w:rFonts w:asciiTheme="majorBidi" w:hAnsiTheme="majorBidi" w:cstheme="majorBidi"/>
          <w:sz w:val="20"/>
        </w:rPr>
        <w:t>gleason</w:t>
      </w:r>
      <w:proofErr w:type="spellEnd"/>
      <w:r w:rsidR="00EF78CA">
        <w:rPr>
          <w:rFonts w:asciiTheme="majorBidi" w:hAnsiTheme="majorBidi" w:cstheme="majorBidi"/>
          <w:sz w:val="20"/>
        </w:rPr>
        <w:t xml:space="preserve"> score</w:t>
      </w:r>
    </w:p>
    <w:p w:rsidR="00EF78CA" w:rsidRPr="00EF78CA" w:rsidRDefault="00EF78CA" w:rsidP="00EF78CA">
      <w:pPr>
        <w:pStyle w:val="Els-body-text"/>
        <w:widowControl w:val="0"/>
        <w:spacing w:before="100" w:beforeAutospacing="1" w:after="100" w:afterAutospacing="1" w:line="360" w:lineRule="auto"/>
        <w:ind w:firstLine="0"/>
        <w:rPr>
          <w:rFonts w:asciiTheme="majorBidi" w:hAnsiTheme="majorBidi" w:cstheme="majorBidi"/>
          <w:b/>
        </w:rPr>
      </w:pPr>
      <w:r w:rsidRPr="00EF78CA">
        <w:rPr>
          <w:rFonts w:asciiTheme="majorBidi" w:hAnsiTheme="majorBidi" w:cstheme="majorBidi"/>
          <w:b/>
        </w:rPr>
        <w:t>Introduction</w:t>
      </w:r>
    </w:p>
    <w:p w:rsidR="00EF78CA" w:rsidRPr="00B22926" w:rsidRDefault="00EF78CA" w:rsidP="00EF78CA">
      <w:pPr>
        <w:pStyle w:val="Els-body-text"/>
        <w:widowControl w:val="0"/>
        <w:spacing w:before="100" w:beforeAutospacing="1" w:after="100" w:afterAutospacing="1" w:line="360" w:lineRule="auto"/>
        <w:ind w:firstLine="0"/>
        <w:rPr>
          <w:rFonts w:asciiTheme="majorBidi" w:hAnsiTheme="majorBidi" w:cstheme="majorBidi"/>
        </w:rPr>
      </w:pPr>
      <w:r w:rsidRPr="00EF78CA">
        <w:rPr>
          <w:rFonts w:asciiTheme="majorBidi" w:hAnsiTheme="majorBidi" w:cstheme="majorBidi"/>
        </w:rPr>
        <w:t xml:space="preserve">Mutated p53 is one of the most common genetic abnormalities detected in human cancers. As a major tumor suppressor gene, p53 regulates the cell cycle, controls DNA repair mechanisms and activates apoptotic </w:t>
      </w:r>
      <w:r w:rsidR="00076AFE">
        <w:rPr>
          <w:rFonts w:asciiTheme="majorBidi" w:hAnsiTheme="majorBidi" w:cstheme="majorBidi"/>
        </w:rPr>
        <w:t>pathways</w:t>
      </w:r>
      <w:r w:rsidRPr="00EF78CA">
        <w:rPr>
          <w:rFonts w:asciiTheme="majorBidi" w:hAnsiTheme="majorBidi" w:cstheme="majorBidi"/>
        </w:rPr>
        <w:t>.</w:t>
      </w:r>
      <w:r w:rsidR="00956CF6">
        <w:rPr>
          <w:rFonts w:asciiTheme="majorBidi" w:hAnsiTheme="majorBidi" w:cstheme="majorBidi"/>
          <w:vertAlign w:val="superscript"/>
        </w:rPr>
        <w:t>[1]</w:t>
      </w:r>
      <w:r w:rsidR="00076AFE">
        <w:rPr>
          <w:rFonts w:asciiTheme="majorBidi" w:hAnsiTheme="majorBidi" w:cstheme="majorBidi"/>
        </w:rPr>
        <w:t xml:space="preserve"> </w:t>
      </w:r>
      <w:r w:rsidRPr="00EF78CA">
        <w:rPr>
          <w:rFonts w:asciiTheme="majorBidi" w:hAnsiTheme="majorBidi" w:cstheme="majorBidi"/>
        </w:rPr>
        <w:t>The clinical correlates of p53 mutations malignancies have not been fully delineated but have shown that p53 mutation accelerates cancer progression and increases tumor invasiveness and metastasis, which is not, however, the entire picture.</w:t>
      </w:r>
      <w:r w:rsidR="00B74FCB">
        <w:rPr>
          <w:rFonts w:asciiTheme="majorBidi" w:hAnsiTheme="majorBidi" w:cstheme="majorBidi"/>
          <w:vertAlign w:val="superscript"/>
        </w:rPr>
        <w:t>[2,3]</w:t>
      </w:r>
      <w:r w:rsidRPr="00EF78CA">
        <w:rPr>
          <w:rFonts w:asciiTheme="majorBidi" w:hAnsiTheme="majorBidi" w:cstheme="majorBidi"/>
        </w:rPr>
        <w:t xml:space="preserve"> Translocation the Bcl-2 oncogene on chromosome 18, giving rise to activation of the Bcl-2 gene, with increased production of mRNA and protein.</w:t>
      </w:r>
      <w:r w:rsidR="00C947A3">
        <w:rPr>
          <w:rFonts w:asciiTheme="majorBidi" w:hAnsiTheme="majorBidi" w:cstheme="majorBidi"/>
          <w:vertAlign w:val="superscript"/>
        </w:rPr>
        <w:t>[4]</w:t>
      </w:r>
      <w:r w:rsidRPr="00EF78CA">
        <w:rPr>
          <w:rFonts w:asciiTheme="majorBidi" w:hAnsiTheme="majorBidi" w:cstheme="majorBidi"/>
        </w:rPr>
        <w:t xml:space="preserve"> Bcl-2 is an oncogene with anti-apoptotic activity. It has been related to androgen independent prostate </w:t>
      </w:r>
      <w:r w:rsidR="002F5023" w:rsidRPr="00EF78CA">
        <w:rPr>
          <w:rFonts w:asciiTheme="majorBidi" w:hAnsiTheme="majorBidi" w:cstheme="majorBidi"/>
        </w:rPr>
        <w:t>adenocarcinomas.</w:t>
      </w:r>
      <w:r w:rsidR="002F5023">
        <w:rPr>
          <w:rFonts w:asciiTheme="majorBidi" w:hAnsiTheme="majorBidi" w:cstheme="majorBidi"/>
          <w:vertAlign w:val="superscript"/>
        </w:rPr>
        <w:t xml:space="preserve"> [</w:t>
      </w:r>
      <w:r w:rsidR="001124FE">
        <w:rPr>
          <w:rFonts w:asciiTheme="majorBidi" w:hAnsiTheme="majorBidi" w:cstheme="majorBidi"/>
          <w:vertAlign w:val="superscript"/>
        </w:rPr>
        <w:t>5]</w:t>
      </w:r>
      <w:r w:rsidRPr="00EF78CA">
        <w:rPr>
          <w:rFonts w:asciiTheme="majorBidi" w:hAnsiTheme="majorBidi" w:cstheme="majorBidi"/>
        </w:rPr>
        <w:t xml:space="preserve"> Proliferative activity tends to be low in</w:t>
      </w:r>
      <w:r w:rsidR="00B22926">
        <w:rPr>
          <w:rFonts w:asciiTheme="majorBidi" w:hAnsiTheme="majorBidi" w:cstheme="majorBidi"/>
        </w:rPr>
        <w:t xml:space="preserve"> prostate cancer</w:t>
      </w:r>
      <w:r w:rsidRPr="00EF78CA">
        <w:rPr>
          <w:rFonts w:asciiTheme="majorBidi" w:hAnsiTheme="majorBidi" w:cstheme="majorBidi"/>
        </w:rPr>
        <w:t xml:space="preserve"> and higher rates have been related to higher tumor stage and disease-spec</w:t>
      </w:r>
      <w:r w:rsidR="00C947A3">
        <w:rPr>
          <w:rFonts w:asciiTheme="majorBidi" w:hAnsiTheme="majorBidi" w:cstheme="majorBidi"/>
        </w:rPr>
        <w:t xml:space="preserve">ific </w:t>
      </w:r>
      <w:r w:rsidR="002F5023">
        <w:rPr>
          <w:rFonts w:asciiTheme="majorBidi" w:hAnsiTheme="majorBidi" w:cstheme="majorBidi"/>
        </w:rPr>
        <w:t>survival</w:t>
      </w:r>
      <w:r w:rsidR="002F5023" w:rsidRPr="00EF78CA">
        <w:rPr>
          <w:rFonts w:asciiTheme="majorBidi" w:hAnsiTheme="majorBidi" w:cstheme="majorBidi"/>
        </w:rPr>
        <w:t>.</w:t>
      </w:r>
      <w:r w:rsidR="002F5023">
        <w:rPr>
          <w:rFonts w:asciiTheme="majorBidi" w:hAnsiTheme="majorBidi" w:cstheme="majorBidi"/>
          <w:vertAlign w:val="superscript"/>
        </w:rPr>
        <w:t xml:space="preserve"> [</w:t>
      </w:r>
      <w:r w:rsidR="00C947A3">
        <w:rPr>
          <w:rFonts w:asciiTheme="majorBidi" w:hAnsiTheme="majorBidi" w:cstheme="majorBidi"/>
          <w:vertAlign w:val="superscript"/>
        </w:rPr>
        <w:t>6]</w:t>
      </w:r>
      <w:r w:rsidRPr="00EF78CA">
        <w:rPr>
          <w:rFonts w:asciiTheme="majorBidi" w:hAnsiTheme="majorBidi" w:cstheme="majorBidi"/>
        </w:rPr>
        <w:t xml:space="preserve"> The activity of proliferating cell nuclear antigen has been evaluated in a number of tumors and has been related</w:t>
      </w:r>
      <w:r w:rsidR="00B22926">
        <w:rPr>
          <w:rFonts w:asciiTheme="majorBidi" w:hAnsiTheme="majorBidi" w:cstheme="majorBidi"/>
        </w:rPr>
        <w:t xml:space="preserve"> to </w:t>
      </w:r>
      <w:r w:rsidR="002F5023">
        <w:rPr>
          <w:rFonts w:asciiTheme="majorBidi" w:hAnsiTheme="majorBidi" w:cstheme="majorBidi"/>
        </w:rPr>
        <w:t>prognosis.</w:t>
      </w:r>
      <w:r w:rsidR="002F5023">
        <w:rPr>
          <w:rFonts w:asciiTheme="majorBidi" w:hAnsiTheme="majorBidi" w:cstheme="majorBidi"/>
          <w:vertAlign w:val="superscript"/>
        </w:rPr>
        <w:t xml:space="preserve"> [</w:t>
      </w:r>
      <w:r w:rsidR="00B22926">
        <w:rPr>
          <w:rFonts w:asciiTheme="majorBidi" w:hAnsiTheme="majorBidi" w:cstheme="majorBidi"/>
          <w:vertAlign w:val="superscript"/>
        </w:rPr>
        <w:t>7]</w:t>
      </w:r>
    </w:p>
    <w:p w:rsidR="00EF78CA" w:rsidRPr="00EF78CA" w:rsidRDefault="00EF78CA" w:rsidP="00EF78CA">
      <w:pPr>
        <w:pStyle w:val="Els-body-text"/>
        <w:widowControl w:val="0"/>
        <w:spacing w:before="100" w:beforeAutospacing="1" w:after="100" w:afterAutospacing="1" w:line="360" w:lineRule="auto"/>
        <w:ind w:firstLine="0"/>
        <w:rPr>
          <w:rFonts w:asciiTheme="majorBidi" w:hAnsiTheme="majorBidi" w:cstheme="majorBidi"/>
        </w:rPr>
      </w:pPr>
      <w:r w:rsidRPr="00EF78CA">
        <w:rPr>
          <w:rFonts w:asciiTheme="majorBidi" w:hAnsiTheme="majorBidi" w:cstheme="majorBidi"/>
        </w:rPr>
        <w:t xml:space="preserve">The diagnosis of prostatic carcinoma is based on histopathological examination of tissue obtained from the prostate gland. A key feature in a histopathological report of cancer is the grading of the aggressiveness. For prostatic </w:t>
      </w:r>
      <w:r w:rsidR="00076AFE" w:rsidRPr="00EF78CA">
        <w:rPr>
          <w:rFonts w:asciiTheme="majorBidi" w:hAnsiTheme="majorBidi" w:cstheme="majorBidi"/>
        </w:rPr>
        <w:t>carcinoma,</w:t>
      </w:r>
      <w:r w:rsidRPr="00EF78CA">
        <w:rPr>
          <w:rFonts w:asciiTheme="majorBidi" w:hAnsiTheme="majorBidi" w:cstheme="majorBidi"/>
        </w:rPr>
        <w:t xml:space="preserve"> the most widely used method for this grading was developed by Donald Gleason, and is known as the Gleason scoring </w:t>
      </w:r>
      <w:r w:rsidR="002F5023" w:rsidRPr="00EF78CA">
        <w:rPr>
          <w:rFonts w:asciiTheme="majorBidi" w:hAnsiTheme="majorBidi" w:cstheme="majorBidi"/>
        </w:rPr>
        <w:t>system.</w:t>
      </w:r>
      <w:r w:rsidR="002F5023">
        <w:rPr>
          <w:rFonts w:asciiTheme="majorBidi" w:hAnsiTheme="majorBidi" w:cstheme="majorBidi"/>
          <w:vertAlign w:val="superscript"/>
        </w:rPr>
        <w:t xml:space="preserve"> [</w:t>
      </w:r>
      <w:r w:rsidR="005320B2">
        <w:rPr>
          <w:rFonts w:asciiTheme="majorBidi" w:hAnsiTheme="majorBidi" w:cstheme="majorBidi"/>
          <w:vertAlign w:val="superscript"/>
        </w:rPr>
        <w:t>8,9]</w:t>
      </w:r>
      <w:r w:rsidRPr="00EF78CA">
        <w:rPr>
          <w:rFonts w:asciiTheme="majorBidi" w:hAnsiTheme="majorBidi" w:cstheme="majorBidi"/>
        </w:rPr>
        <w:t xml:space="preserve"> The Gleason grading system remains one of the important prognostic and predicting factors for pr</w:t>
      </w:r>
      <w:r w:rsidR="00AD6827">
        <w:rPr>
          <w:rFonts w:asciiTheme="majorBidi" w:hAnsiTheme="majorBidi" w:cstheme="majorBidi"/>
        </w:rPr>
        <w:t xml:space="preserve">ostate </w:t>
      </w:r>
      <w:r w:rsidR="002F5023">
        <w:rPr>
          <w:rFonts w:asciiTheme="majorBidi" w:hAnsiTheme="majorBidi" w:cstheme="majorBidi"/>
        </w:rPr>
        <w:t>carcinoma</w:t>
      </w:r>
      <w:r w:rsidR="002F5023" w:rsidRPr="00EF78CA">
        <w:rPr>
          <w:rFonts w:asciiTheme="majorBidi" w:hAnsiTheme="majorBidi" w:cstheme="majorBidi"/>
        </w:rPr>
        <w:t>.</w:t>
      </w:r>
      <w:r w:rsidR="002F5023">
        <w:rPr>
          <w:rFonts w:asciiTheme="majorBidi" w:hAnsiTheme="majorBidi" w:cstheme="majorBidi"/>
          <w:vertAlign w:val="superscript"/>
        </w:rPr>
        <w:t xml:space="preserve"> [</w:t>
      </w:r>
      <w:r w:rsidR="00AD6827">
        <w:rPr>
          <w:rFonts w:asciiTheme="majorBidi" w:hAnsiTheme="majorBidi" w:cstheme="majorBidi"/>
          <w:vertAlign w:val="superscript"/>
        </w:rPr>
        <w:t>10]</w:t>
      </w:r>
      <w:r w:rsidRPr="00EF78CA">
        <w:rPr>
          <w:rFonts w:asciiTheme="majorBidi" w:hAnsiTheme="majorBidi" w:cstheme="majorBidi"/>
        </w:rPr>
        <w:t xml:space="preserve"> More recently, the emergence of molecular medicine has resulted in the increased use of techniques able to quantitate levels </w:t>
      </w:r>
      <w:r w:rsidR="000D38FA">
        <w:rPr>
          <w:rFonts w:asciiTheme="majorBidi" w:hAnsiTheme="majorBidi" w:cstheme="majorBidi"/>
        </w:rPr>
        <w:t xml:space="preserve">of RNA in clinical </w:t>
      </w:r>
      <w:r w:rsidR="002F5023">
        <w:rPr>
          <w:rFonts w:asciiTheme="majorBidi" w:hAnsiTheme="majorBidi" w:cstheme="majorBidi"/>
        </w:rPr>
        <w:t>diagnostics.</w:t>
      </w:r>
      <w:r w:rsidR="002F5023">
        <w:rPr>
          <w:rFonts w:asciiTheme="majorBidi" w:hAnsiTheme="majorBidi" w:cstheme="majorBidi"/>
          <w:vertAlign w:val="superscript"/>
        </w:rPr>
        <w:t xml:space="preserve"> [</w:t>
      </w:r>
      <w:r w:rsidR="000D38FA">
        <w:rPr>
          <w:rFonts w:asciiTheme="majorBidi" w:hAnsiTheme="majorBidi" w:cstheme="majorBidi"/>
          <w:vertAlign w:val="superscript"/>
        </w:rPr>
        <w:t>11]</w:t>
      </w:r>
      <w:r w:rsidRPr="00EF78CA">
        <w:rPr>
          <w:rFonts w:asciiTheme="majorBidi" w:hAnsiTheme="majorBidi" w:cstheme="majorBidi"/>
        </w:rPr>
        <w:tab/>
      </w:r>
    </w:p>
    <w:p w:rsidR="00EF78CA" w:rsidRPr="00EF78CA" w:rsidRDefault="00EF78CA" w:rsidP="00EF78CA">
      <w:pPr>
        <w:pStyle w:val="Els-body-text"/>
        <w:widowControl w:val="0"/>
        <w:spacing w:before="100" w:beforeAutospacing="1" w:after="100" w:afterAutospacing="1" w:line="360" w:lineRule="auto"/>
        <w:ind w:firstLine="0"/>
        <w:rPr>
          <w:rFonts w:asciiTheme="majorBidi" w:hAnsiTheme="majorBidi" w:cstheme="majorBidi"/>
        </w:rPr>
      </w:pPr>
      <w:r w:rsidRPr="00EF78CA">
        <w:rPr>
          <w:rFonts w:asciiTheme="majorBidi" w:hAnsiTheme="majorBidi" w:cstheme="majorBidi"/>
        </w:rPr>
        <w:t>Quantitative real-time PCR (qPCR) has become a useful tool for validation and reduction of data produc</w:t>
      </w:r>
      <w:r w:rsidR="000D38FA">
        <w:rPr>
          <w:rFonts w:asciiTheme="majorBidi" w:hAnsiTheme="majorBidi" w:cstheme="majorBidi"/>
        </w:rPr>
        <w:t xml:space="preserve">ed from microarray </w:t>
      </w:r>
      <w:r w:rsidR="002F5023">
        <w:rPr>
          <w:rFonts w:asciiTheme="majorBidi" w:hAnsiTheme="majorBidi" w:cstheme="majorBidi"/>
        </w:rPr>
        <w:t>studies</w:t>
      </w:r>
      <w:r w:rsidR="002F5023" w:rsidRPr="00EF78CA">
        <w:rPr>
          <w:rFonts w:asciiTheme="majorBidi" w:hAnsiTheme="majorBidi" w:cstheme="majorBidi"/>
        </w:rPr>
        <w:t>.</w:t>
      </w:r>
      <w:r w:rsidR="002F5023">
        <w:rPr>
          <w:rFonts w:asciiTheme="majorBidi" w:hAnsiTheme="majorBidi" w:cstheme="majorBidi"/>
          <w:vertAlign w:val="superscript"/>
        </w:rPr>
        <w:t xml:space="preserve"> [</w:t>
      </w:r>
      <w:r w:rsidR="000D38FA">
        <w:rPr>
          <w:rFonts w:asciiTheme="majorBidi" w:hAnsiTheme="majorBidi" w:cstheme="majorBidi"/>
          <w:vertAlign w:val="superscript"/>
        </w:rPr>
        <w:t>12,13]</w:t>
      </w:r>
      <w:r w:rsidRPr="00EF78CA">
        <w:rPr>
          <w:rFonts w:asciiTheme="majorBidi" w:hAnsiTheme="majorBidi" w:cstheme="majorBidi"/>
        </w:rPr>
        <w:t xml:space="preserve"> Many </w:t>
      </w:r>
      <w:proofErr w:type="spellStart"/>
      <w:r w:rsidRPr="00EF78CA">
        <w:rPr>
          <w:rFonts w:asciiTheme="majorBidi" w:hAnsiTheme="majorBidi" w:cstheme="majorBidi"/>
        </w:rPr>
        <w:t>PCa</w:t>
      </w:r>
      <w:proofErr w:type="spellEnd"/>
      <w:r w:rsidRPr="00EF78CA">
        <w:rPr>
          <w:rFonts w:asciiTheme="majorBidi" w:hAnsiTheme="majorBidi" w:cstheme="majorBidi"/>
        </w:rPr>
        <w:t xml:space="preserve"> biomarker studies employ microarrays to identify profiles of t</w:t>
      </w:r>
      <w:r w:rsidR="00553F4E">
        <w:rPr>
          <w:rFonts w:asciiTheme="majorBidi" w:hAnsiTheme="majorBidi" w:cstheme="majorBidi"/>
        </w:rPr>
        <w:t xml:space="preserve">he disease and its </w:t>
      </w:r>
      <w:r w:rsidR="002F5023">
        <w:rPr>
          <w:rFonts w:asciiTheme="majorBidi" w:hAnsiTheme="majorBidi" w:cstheme="majorBidi"/>
        </w:rPr>
        <w:t>progression</w:t>
      </w:r>
      <w:r w:rsidR="002F5023" w:rsidRPr="00EF78CA">
        <w:rPr>
          <w:rFonts w:asciiTheme="majorBidi" w:hAnsiTheme="majorBidi" w:cstheme="majorBidi"/>
        </w:rPr>
        <w:t>.</w:t>
      </w:r>
      <w:r w:rsidR="002F5023">
        <w:rPr>
          <w:rFonts w:asciiTheme="majorBidi" w:hAnsiTheme="majorBidi" w:cstheme="majorBidi"/>
          <w:vertAlign w:val="superscript"/>
        </w:rPr>
        <w:t xml:space="preserve"> [</w:t>
      </w:r>
      <w:r w:rsidR="00553F4E">
        <w:rPr>
          <w:rFonts w:asciiTheme="majorBidi" w:hAnsiTheme="majorBidi" w:cstheme="majorBidi"/>
          <w:vertAlign w:val="superscript"/>
        </w:rPr>
        <w:t>14,15,16]</w:t>
      </w:r>
      <w:r w:rsidRPr="00EF78CA">
        <w:rPr>
          <w:rFonts w:asciiTheme="majorBidi" w:hAnsiTheme="majorBidi" w:cstheme="majorBidi"/>
        </w:rPr>
        <w:t xml:space="preserve"> </w:t>
      </w:r>
    </w:p>
    <w:p w:rsidR="00780521" w:rsidRPr="00EF78CA" w:rsidRDefault="00EF78CA" w:rsidP="00EF78CA">
      <w:pPr>
        <w:pStyle w:val="Els-body-text"/>
        <w:keepNext w:val="0"/>
        <w:widowControl w:val="0"/>
        <w:spacing w:before="100" w:beforeAutospacing="1" w:after="100" w:afterAutospacing="1" w:line="360" w:lineRule="auto"/>
        <w:ind w:firstLine="0"/>
        <w:rPr>
          <w:rFonts w:asciiTheme="majorBidi" w:hAnsiTheme="majorBidi" w:cstheme="majorBidi"/>
        </w:rPr>
      </w:pPr>
      <w:r w:rsidRPr="00EF78CA">
        <w:rPr>
          <w:rFonts w:asciiTheme="majorBidi" w:hAnsiTheme="majorBidi" w:cstheme="majorBidi"/>
        </w:rPr>
        <w:t>The aim of this study was to evaluate tumor proliferation and the expression of the proto-</w:t>
      </w:r>
      <w:proofErr w:type="spellStart"/>
      <w:r w:rsidRPr="00EF78CA">
        <w:rPr>
          <w:rFonts w:asciiTheme="majorBidi" w:hAnsiTheme="majorBidi" w:cstheme="majorBidi"/>
        </w:rPr>
        <w:t>oncogen</w:t>
      </w:r>
      <w:proofErr w:type="spellEnd"/>
      <w:r w:rsidRPr="00EF78CA">
        <w:rPr>
          <w:rFonts w:asciiTheme="majorBidi" w:hAnsiTheme="majorBidi" w:cstheme="majorBidi"/>
        </w:rPr>
        <w:t xml:space="preserve"> Bcl-2 and tumor suppressor gene p53 in patients undergoing transurethral prostatectomy for prostate carcinoma, and to define their prognostic roles through correlation with final Gleason score, using </w:t>
      </w:r>
      <w:proofErr w:type="spellStart"/>
      <w:r w:rsidRPr="00EF78CA">
        <w:rPr>
          <w:rFonts w:asciiTheme="majorBidi" w:hAnsiTheme="majorBidi" w:cstheme="majorBidi"/>
        </w:rPr>
        <w:t>qRTPCR</w:t>
      </w:r>
      <w:proofErr w:type="spellEnd"/>
      <w:r w:rsidR="00780521" w:rsidRPr="00EF78CA">
        <w:rPr>
          <w:rFonts w:asciiTheme="majorBidi" w:hAnsiTheme="majorBidi" w:cstheme="majorBidi"/>
        </w:rPr>
        <w:t>.</w:t>
      </w:r>
    </w:p>
    <w:p w:rsidR="00780521" w:rsidRPr="004E0547" w:rsidRDefault="00780521" w:rsidP="00780521">
      <w:pPr>
        <w:pStyle w:val="Els-Abstract-Copyright"/>
        <w:spacing w:before="100" w:beforeAutospacing="1" w:after="100" w:afterAutospacing="1" w:line="360" w:lineRule="auto"/>
        <w:rPr>
          <w:rFonts w:asciiTheme="majorBidi" w:hAnsiTheme="majorBidi" w:cstheme="majorBidi"/>
          <w:sz w:val="20"/>
        </w:rPr>
      </w:pPr>
    </w:p>
    <w:p w:rsidR="00780521" w:rsidRPr="004E0547" w:rsidRDefault="00780521" w:rsidP="00780521">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rsidR="00780521" w:rsidRPr="004E0547" w:rsidRDefault="00780521" w:rsidP="00780521">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rsidR="00780521" w:rsidRDefault="00780521" w:rsidP="00780521">
      <w:pPr>
        <w:pStyle w:val="Els-body-text"/>
        <w:keepNext w:val="0"/>
        <w:widowControl w:val="0"/>
        <w:spacing w:line="360" w:lineRule="auto"/>
        <w:ind w:firstLine="0"/>
        <w:rPr>
          <w:rFonts w:asciiTheme="majorBidi" w:hAnsiTheme="majorBidi" w:cstheme="majorBidi"/>
          <w:sz w:val="16"/>
        </w:rPr>
      </w:pPr>
      <w:r w:rsidRPr="004E0547">
        <w:rPr>
          <w:rFonts w:asciiTheme="majorBidi" w:hAnsiTheme="majorBidi" w:cstheme="majorBidi"/>
          <w:sz w:val="16"/>
          <w:szCs w:val="16"/>
        </w:rPr>
        <w:t xml:space="preserve">E-mail address: </w:t>
      </w:r>
      <w:proofErr w:type="gramStart"/>
      <w:r w:rsidR="002741FB" w:rsidRPr="002741FB">
        <w:rPr>
          <w:rFonts w:asciiTheme="majorBidi" w:hAnsiTheme="majorBidi" w:cstheme="majorBidi"/>
          <w:sz w:val="16"/>
          <w:szCs w:val="16"/>
        </w:rPr>
        <w:t>sumaryatisyukur@fmipa.unand.ac.id;sumaryatisyukur_unand@yahoo.co.id</w:t>
      </w:r>
      <w:proofErr w:type="gramEnd"/>
      <w:r w:rsidRPr="004E0547">
        <w:rPr>
          <w:rFonts w:asciiTheme="majorBidi" w:hAnsiTheme="majorBidi" w:cstheme="majorBidi"/>
          <w:sz w:val="16"/>
        </w:rPr>
        <w:t>.</w:t>
      </w:r>
    </w:p>
    <w:p w:rsidR="009F01D0" w:rsidRDefault="009F01D0" w:rsidP="009F01D0">
      <w:pPr>
        <w:pStyle w:val="Els-body-text"/>
        <w:widowControl w:val="0"/>
        <w:spacing w:before="100" w:beforeAutospacing="1" w:after="100" w:afterAutospacing="1" w:line="360" w:lineRule="auto"/>
        <w:ind w:firstLine="0"/>
        <w:rPr>
          <w:rFonts w:asciiTheme="majorBidi" w:hAnsiTheme="majorBidi" w:cstheme="majorBidi"/>
          <w:b/>
          <w:bCs/>
        </w:rPr>
      </w:pPr>
    </w:p>
    <w:p w:rsidR="009F01D0" w:rsidRPr="009F01D0" w:rsidRDefault="009F01D0" w:rsidP="009F01D0">
      <w:pPr>
        <w:pStyle w:val="Els-body-text"/>
        <w:widowControl w:val="0"/>
        <w:spacing w:before="100" w:beforeAutospacing="1" w:after="100" w:afterAutospacing="1" w:line="360" w:lineRule="auto"/>
        <w:ind w:firstLine="0"/>
        <w:rPr>
          <w:rFonts w:asciiTheme="majorBidi" w:hAnsiTheme="majorBidi" w:cstheme="majorBidi"/>
          <w:b/>
          <w:bCs/>
        </w:rPr>
      </w:pPr>
      <w:r w:rsidRPr="009F01D0">
        <w:rPr>
          <w:rFonts w:asciiTheme="majorBidi" w:hAnsiTheme="majorBidi" w:cstheme="majorBidi"/>
          <w:b/>
          <w:bCs/>
        </w:rPr>
        <w:t>Material and Method</w:t>
      </w:r>
    </w:p>
    <w:p w:rsidR="009F01D0" w:rsidRDefault="009F01D0" w:rsidP="009F01D0">
      <w:pPr>
        <w:pStyle w:val="Els-body-text"/>
        <w:widowControl w:val="0"/>
        <w:spacing w:before="100" w:beforeAutospacing="1" w:after="100" w:afterAutospacing="1" w:line="360" w:lineRule="auto"/>
        <w:ind w:firstLine="0"/>
        <w:rPr>
          <w:rFonts w:asciiTheme="majorBidi" w:hAnsiTheme="majorBidi" w:cstheme="majorBidi"/>
          <w:bCs/>
        </w:rPr>
      </w:pPr>
      <w:r w:rsidRPr="009F01D0">
        <w:rPr>
          <w:rFonts w:asciiTheme="majorBidi" w:hAnsiTheme="majorBidi" w:cstheme="majorBidi"/>
          <w:bCs/>
        </w:rPr>
        <w:t>Forty patients who were treated by transurethral resection of the prostate in 2015 to 2016 for adenocarcinoma prostate were analyzed according to histopathological standard methods. Fixation of tissue sample using normal buffer formalin 10%.</w:t>
      </w:r>
      <w:r w:rsidR="00093D5C">
        <w:rPr>
          <w:rFonts w:asciiTheme="majorBidi" w:hAnsiTheme="majorBidi" w:cstheme="majorBidi"/>
          <w:bCs/>
        </w:rPr>
        <w:t xml:space="preserve"> </w:t>
      </w:r>
      <w:r w:rsidRPr="009F01D0">
        <w:rPr>
          <w:rFonts w:asciiTheme="majorBidi" w:hAnsiTheme="majorBidi" w:cstheme="majorBidi"/>
          <w:bCs/>
        </w:rPr>
        <w:t>Tissue preparation from FFPE as p</w:t>
      </w:r>
      <w:r w:rsidR="00432C25">
        <w:rPr>
          <w:rFonts w:asciiTheme="majorBidi" w:hAnsiTheme="majorBidi" w:cstheme="majorBidi"/>
          <w:bCs/>
        </w:rPr>
        <w:t xml:space="preserve">revious </w:t>
      </w:r>
      <w:r w:rsidR="002F5023">
        <w:rPr>
          <w:rFonts w:asciiTheme="majorBidi" w:hAnsiTheme="majorBidi" w:cstheme="majorBidi"/>
          <w:bCs/>
        </w:rPr>
        <w:t>describe</w:t>
      </w:r>
      <w:r w:rsidR="002F5023" w:rsidRPr="009F01D0">
        <w:rPr>
          <w:rFonts w:asciiTheme="majorBidi" w:hAnsiTheme="majorBidi" w:cstheme="majorBidi"/>
          <w:bCs/>
        </w:rPr>
        <w:t>.</w:t>
      </w:r>
      <w:r w:rsidR="002F5023">
        <w:rPr>
          <w:rFonts w:asciiTheme="majorBidi" w:hAnsiTheme="majorBidi" w:cstheme="majorBidi"/>
          <w:bCs/>
          <w:vertAlign w:val="superscript"/>
        </w:rPr>
        <w:t xml:space="preserve"> [</w:t>
      </w:r>
      <w:r w:rsidR="00432C25">
        <w:rPr>
          <w:rFonts w:asciiTheme="majorBidi" w:hAnsiTheme="majorBidi" w:cstheme="majorBidi"/>
          <w:bCs/>
          <w:vertAlign w:val="superscript"/>
        </w:rPr>
        <w:t>17]</w:t>
      </w:r>
      <w:r w:rsidRPr="009F01D0">
        <w:rPr>
          <w:rFonts w:asciiTheme="majorBidi" w:hAnsiTheme="majorBidi" w:cstheme="majorBidi"/>
          <w:bCs/>
        </w:rPr>
        <w:t xml:space="preserve"> Total RNA extraction using </w:t>
      </w:r>
      <w:proofErr w:type="spellStart"/>
      <w:r w:rsidRPr="009F01D0">
        <w:rPr>
          <w:rFonts w:asciiTheme="majorBidi" w:hAnsiTheme="majorBidi" w:cstheme="majorBidi"/>
          <w:bCs/>
        </w:rPr>
        <w:t>QIAsymphony</w:t>
      </w:r>
      <w:proofErr w:type="spellEnd"/>
      <w:r w:rsidRPr="009F01D0">
        <w:rPr>
          <w:rFonts w:asciiTheme="majorBidi" w:hAnsiTheme="majorBidi" w:cstheme="majorBidi"/>
          <w:bCs/>
        </w:rPr>
        <w:t xml:space="preserve"> instrument with the </w:t>
      </w:r>
      <w:proofErr w:type="spellStart"/>
      <w:r w:rsidRPr="009F01D0">
        <w:rPr>
          <w:rFonts w:asciiTheme="majorBidi" w:hAnsiTheme="majorBidi" w:cstheme="majorBidi"/>
          <w:bCs/>
        </w:rPr>
        <w:t>RNeasy</w:t>
      </w:r>
      <w:r w:rsidR="00335EFC" w:rsidRPr="00127882">
        <w:rPr>
          <w:vertAlign w:val="superscript"/>
        </w:rPr>
        <w:t>Ò</w:t>
      </w:r>
      <w:r w:rsidRPr="009F01D0">
        <w:rPr>
          <w:rFonts w:asciiTheme="majorBidi" w:hAnsiTheme="majorBidi" w:cstheme="majorBidi"/>
          <w:bCs/>
        </w:rPr>
        <w:t>FFPE</w:t>
      </w:r>
      <w:proofErr w:type="spellEnd"/>
      <w:r w:rsidRPr="009F01D0">
        <w:rPr>
          <w:rFonts w:asciiTheme="majorBidi" w:hAnsiTheme="majorBidi" w:cstheme="majorBidi"/>
          <w:bCs/>
        </w:rPr>
        <w:t xml:space="preserve"> Kit (Qiagen) following the instructions suggested by the manufacturer. Reverse transcription and quantitative real-time polymerase chain reaction (QRTPCR) in one step using Rotor Gen Q (Qiagen) perform by adding 2</w:t>
      </w:r>
      <w:r w:rsidR="00335EFC" w:rsidRPr="007D62C3">
        <w:rPr>
          <w:color w:val="000000"/>
        </w:rPr>
        <w:sym w:font="Symbol" w:char="F06D"/>
      </w:r>
      <w:r w:rsidR="00335EFC" w:rsidRPr="007D62C3">
        <w:rPr>
          <w:color w:val="000000"/>
        </w:rPr>
        <w:t xml:space="preserve">l </w:t>
      </w:r>
      <w:r w:rsidRPr="009F01D0">
        <w:rPr>
          <w:rFonts w:asciiTheme="majorBidi" w:hAnsiTheme="majorBidi" w:cstheme="majorBidi"/>
          <w:bCs/>
        </w:rPr>
        <w:t>total RNA to Master Mix (Qiagen)</w:t>
      </w:r>
      <w:r w:rsidR="00093D5C">
        <w:rPr>
          <w:rFonts w:asciiTheme="majorBidi" w:hAnsiTheme="majorBidi" w:cstheme="majorBidi"/>
          <w:bCs/>
        </w:rPr>
        <w:t xml:space="preserve"> </w:t>
      </w:r>
      <w:r w:rsidRPr="009F01D0">
        <w:rPr>
          <w:rFonts w:asciiTheme="majorBidi" w:hAnsiTheme="majorBidi" w:cstheme="majorBidi"/>
          <w:bCs/>
        </w:rPr>
        <w:t xml:space="preserve">(15 </w:t>
      </w:r>
      <w:r w:rsidR="00335EFC" w:rsidRPr="007D62C3">
        <w:rPr>
          <w:color w:val="000000"/>
        </w:rPr>
        <w:sym w:font="Symbol" w:char="F06D"/>
      </w:r>
      <w:r w:rsidR="00335EFC" w:rsidRPr="007D62C3">
        <w:rPr>
          <w:color w:val="000000"/>
        </w:rPr>
        <w:t>l</w:t>
      </w:r>
      <w:r w:rsidRPr="009F01D0">
        <w:rPr>
          <w:rFonts w:asciiTheme="majorBidi" w:hAnsiTheme="majorBidi" w:cstheme="majorBidi"/>
          <w:bCs/>
        </w:rPr>
        <w:t xml:space="preserve">) consisting of the following components: 5.0 </w:t>
      </w:r>
      <w:r w:rsidR="00335EFC" w:rsidRPr="007D62C3">
        <w:rPr>
          <w:color w:val="000000"/>
        </w:rPr>
        <w:sym w:font="Symbol" w:char="F06D"/>
      </w:r>
      <w:r w:rsidR="00335EFC" w:rsidRPr="007D62C3">
        <w:rPr>
          <w:color w:val="000000"/>
        </w:rPr>
        <w:t xml:space="preserve">l </w:t>
      </w:r>
      <w:r w:rsidRPr="009F01D0">
        <w:rPr>
          <w:rFonts w:asciiTheme="majorBidi" w:hAnsiTheme="majorBidi" w:cstheme="majorBidi"/>
          <w:bCs/>
        </w:rPr>
        <w:t xml:space="preserve">of 5 reaction buffer, 0.5 </w:t>
      </w:r>
      <w:r w:rsidR="00335EFC" w:rsidRPr="007D62C3">
        <w:rPr>
          <w:color w:val="000000"/>
        </w:rPr>
        <w:sym w:font="Symbol" w:char="F06D"/>
      </w:r>
      <w:r w:rsidR="00335EFC" w:rsidRPr="007D62C3">
        <w:rPr>
          <w:color w:val="000000"/>
        </w:rPr>
        <w:t>l</w:t>
      </w:r>
      <w:r w:rsidR="00093D5C">
        <w:rPr>
          <w:rFonts w:asciiTheme="majorBidi" w:hAnsiTheme="majorBidi" w:cstheme="majorBidi"/>
          <w:bCs/>
        </w:rPr>
        <w:t xml:space="preserve"> of </w:t>
      </w:r>
      <w:r w:rsidRPr="009F01D0">
        <w:rPr>
          <w:rFonts w:asciiTheme="majorBidi" w:hAnsiTheme="majorBidi" w:cstheme="majorBidi"/>
          <w:bCs/>
        </w:rPr>
        <w:t xml:space="preserve">dNTP, 0.1 </w:t>
      </w:r>
      <w:r w:rsidR="00335EFC" w:rsidRPr="007D62C3">
        <w:rPr>
          <w:color w:val="000000"/>
        </w:rPr>
        <w:sym w:font="Symbol" w:char="F06D"/>
      </w:r>
      <w:r w:rsidR="00335EFC" w:rsidRPr="007D62C3">
        <w:rPr>
          <w:color w:val="000000"/>
        </w:rPr>
        <w:t xml:space="preserve">l </w:t>
      </w:r>
      <w:r w:rsidRPr="009F01D0">
        <w:rPr>
          <w:rFonts w:asciiTheme="majorBidi" w:hAnsiTheme="majorBidi" w:cstheme="majorBidi"/>
          <w:bCs/>
        </w:rPr>
        <w:t>of M-MLV reverse transcriptase, (</w:t>
      </w:r>
      <w:proofErr w:type="spellStart"/>
      <w:r w:rsidRPr="009F01D0">
        <w:rPr>
          <w:rFonts w:asciiTheme="majorBidi" w:hAnsiTheme="majorBidi" w:cstheme="majorBidi"/>
          <w:bCs/>
        </w:rPr>
        <w:t>Moloney</w:t>
      </w:r>
      <w:proofErr w:type="spellEnd"/>
      <w:r w:rsidRPr="009F01D0">
        <w:rPr>
          <w:rFonts w:asciiTheme="majorBidi" w:hAnsiTheme="majorBidi" w:cstheme="majorBidi"/>
          <w:bCs/>
        </w:rPr>
        <w:t xml:space="preserve"> Murine Leukemia Virus reverse transcriptase; 200 </w:t>
      </w:r>
      <w:r w:rsidR="00335EFC" w:rsidRPr="00D10B8E">
        <w:rPr>
          <w:color w:val="000000"/>
        </w:rPr>
        <w:t>U/</w:t>
      </w:r>
      <w:r w:rsidR="00335EFC" w:rsidRPr="00D10B8E">
        <w:rPr>
          <w:color w:val="000000"/>
        </w:rPr>
        <w:sym w:font="Symbol" w:char="F06D"/>
      </w:r>
      <w:r w:rsidR="00335EFC" w:rsidRPr="00D10B8E">
        <w:rPr>
          <w:color w:val="000000"/>
        </w:rPr>
        <w:t>l</w:t>
      </w:r>
      <w:r w:rsidRPr="009F01D0">
        <w:rPr>
          <w:rFonts w:asciiTheme="majorBidi" w:hAnsiTheme="majorBidi" w:cstheme="majorBidi"/>
          <w:bCs/>
        </w:rPr>
        <w:t xml:space="preserve">; USB), and 9.4 </w:t>
      </w:r>
      <w:r w:rsidR="00335EFC" w:rsidRPr="00D10B8E">
        <w:rPr>
          <w:color w:val="000000"/>
        </w:rPr>
        <w:sym w:font="Symbol" w:char="F06D"/>
      </w:r>
      <w:r w:rsidR="00335EFC" w:rsidRPr="00D10B8E">
        <w:rPr>
          <w:color w:val="000000"/>
        </w:rPr>
        <w:t xml:space="preserve">l </w:t>
      </w:r>
      <w:r w:rsidRPr="009F01D0">
        <w:rPr>
          <w:rFonts w:asciiTheme="majorBidi" w:hAnsiTheme="majorBidi" w:cstheme="majorBidi"/>
          <w:bCs/>
        </w:rPr>
        <w:t xml:space="preserve">of dH2O. 10 </w:t>
      </w:r>
      <w:r w:rsidR="00335EFC" w:rsidRPr="00D10B8E">
        <w:rPr>
          <w:color w:val="000000"/>
        </w:rPr>
        <w:sym w:font="Symbol" w:char="F06D"/>
      </w:r>
      <w:r w:rsidR="00335EFC" w:rsidRPr="00D10B8E">
        <w:rPr>
          <w:color w:val="000000"/>
        </w:rPr>
        <w:t xml:space="preserve">l </w:t>
      </w:r>
      <w:r w:rsidRPr="009F01D0">
        <w:rPr>
          <w:rFonts w:asciiTheme="majorBidi" w:hAnsiTheme="majorBidi" w:cstheme="majorBidi"/>
          <w:bCs/>
        </w:rPr>
        <w:t xml:space="preserve">of </w:t>
      </w:r>
      <w:proofErr w:type="spellStart"/>
      <w:r w:rsidRPr="009F01D0">
        <w:rPr>
          <w:rFonts w:asciiTheme="majorBidi" w:hAnsiTheme="majorBidi" w:cstheme="majorBidi"/>
          <w:bCs/>
        </w:rPr>
        <w:t>SYBRTMGreen</w:t>
      </w:r>
      <w:proofErr w:type="spellEnd"/>
      <w:r w:rsidRPr="009F01D0">
        <w:rPr>
          <w:rFonts w:asciiTheme="majorBidi" w:hAnsiTheme="majorBidi" w:cstheme="majorBidi"/>
          <w:bCs/>
        </w:rPr>
        <w:t xml:space="preserve"> (Qiagen), 1.5 </w:t>
      </w:r>
      <w:r w:rsidRPr="009F01D0">
        <w:rPr>
          <w:rFonts w:asciiTheme="majorBidi" w:hAnsiTheme="majorBidi" w:cstheme="majorBidi"/>
          <w:bCs/>
        </w:rPr>
        <w:t xml:space="preserve">l of each </w:t>
      </w:r>
      <w:r w:rsidR="00093D5C" w:rsidRPr="009F01D0">
        <w:rPr>
          <w:rFonts w:asciiTheme="majorBidi" w:hAnsiTheme="majorBidi" w:cstheme="majorBidi"/>
          <w:bCs/>
        </w:rPr>
        <w:t>primer (</w:t>
      </w:r>
      <w:r w:rsidRPr="009F01D0">
        <w:rPr>
          <w:rFonts w:asciiTheme="majorBidi" w:hAnsiTheme="majorBidi" w:cstheme="majorBidi"/>
          <w:bCs/>
        </w:rPr>
        <w:t>see table 1). The housekeeping genes like GAPDH should be used as controls for normalization (see table 1).</w:t>
      </w:r>
      <w:r w:rsidR="00093D5C">
        <w:rPr>
          <w:rFonts w:asciiTheme="majorBidi" w:hAnsiTheme="majorBidi" w:cstheme="majorBidi"/>
          <w:bCs/>
        </w:rPr>
        <w:t xml:space="preserve"> </w:t>
      </w:r>
      <w:r w:rsidRPr="009F01D0">
        <w:rPr>
          <w:rFonts w:asciiTheme="majorBidi" w:hAnsiTheme="majorBidi" w:cstheme="majorBidi"/>
          <w:bCs/>
        </w:rPr>
        <w:t>Running amplification as de</w:t>
      </w:r>
      <w:r w:rsidR="00093D5C">
        <w:rPr>
          <w:rFonts w:asciiTheme="majorBidi" w:hAnsiTheme="majorBidi" w:cstheme="majorBidi"/>
          <w:bCs/>
        </w:rPr>
        <w:t>scribed previously.</w:t>
      </w:r>
      <w:r w:rsidR="00093D5C">
        <w:rPr>
          <w:rFonts w:asciiTheme="majorBidi" w:hAnsiTheme="majorBidi" w:cstheme="majorBidi"/>
          <w:bCs/>
          <w:vertAlign w:val="superscript"/>
        </w:rPr>
        <w:t>18</w:t>
      </w:r>
      <w:r w:rsidRPr="009F01D0">
        <w:rPr>
          <w:rFonts w:asciiTheme="majorBidi" w:hAnsiTheme="majorBidi" w:cstheme="majorBidi"/>
          <w:bCs/>
        </w:rPr>
        <w:t xml:space="preserve"> Analysis procedures supported by Rotor-Gene Q software.</w:t>
      </w:r>
    </w:p>
    <w:p w:rsidR="00335EFC" w:rsidRPr="004E0547" w:rsidRDefault="00335EFC" w:rsidP="00335EFC">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Pr>
          <w:rFonts w:asciiTheme="majorBidi" w:hAnsiTheme="majorBidi" w:cstheme="majorBidi"/>
          <w:sz w:val="20"/>
        </w:rPr>
        <w:t xml:space="preserve"> The primer used for reverse </w:t>
      </w:r>
      <w:r w:rsidR="00076AFE">
        <w:rPr>
          <w:rFonts w:asciiTheme="majorBidi" w:hAnsiTheme="majorBidi" w:cstheme="majorBidi"/>
          <w:sz w:val="20"/>
        </w:rPr>
        <w:t>transcription</w:t>
      </w:r>
    </w:p>
    <w:tbl>
      <w:tblPr>
        <w:tblW w:w="0" w:type="auto"/>
        <w:jc w:val="center"/>
        <w:tblLook w:val="01E0" w:firstRow="1" w:lastRow="1" w:firstColumn="1" w:lastColumn="1" w:noHBand="0" w:noVBand="0"/>
      </w:tblPr>
      <w:tblGrid>
        <w:gridCol w:w="1800"/>
        <w:gridCol w:w="4546"/>
      </w:tblGrid>
      <w:tr w:rsidR="00335EFC" w:rsidRPr="004E0547" w:rsidTr="00751946">
        <w:trPr>
          <w:trHeight w:val="341"/>
          <w:jc w:val="center"/>
        </w:trPr>
        <w:tc>
          <w:tcPr>
            <w:tcW w:w="1800" w:type="dxa"/>
            <w:tcBorders>
              <w:top w:val="single" w:sz="4" w:space="0" w:color="auto"/>
              <w:bottom w:val="single" w:sz="4" w:space="0" w:color="auto"/>
            </w:tcBorders>
          </w:tcPr>
          <w:p w:rsidR="00335EFC" w:rsidRPr="004E0547" w:rsidRDefault="00335EFC" w:rsidP="00751946">
            <w:pPr>
              <w:pStyle w:val="Els-table-text"/>
              <w:keepNext w:val="0"/>
              <w:widowControl w:val="0"/>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Gen</w:t>
            </w:r>
          </w:p>
        </w:tc>
        <w:tc>
          <w:tcPr>
            <w:tcW w:w="4546" w:type="dxa"/>
            <w:tcBorders>
              <w:top w:val="single" w:sz="4" w:space="0" w:color="auto"/>
              <w:bottom w:val="single" w:sz="4" w:space="0" w:color="auto"/>
            </w:tcBorders>
          </w:tcPr>
          <w:p w:rsidR="00335EFC" w:rsidRPr="004E0547" w:rsidRDefault="00335EFC" w:rsidP="00751946">
            <w:pPr>
              <w:pStyle w:val="Els-table-text"/>
              <w:keepNext w:val="0"/>
              <w:widowControl w:val="0"/>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Primer</w:t>
            </w:r>
          </w:p>
        </w:tc>
      </w:tr>
      <w:tr w:rsidR="00335EFC" w:rsidRPr="004E0547" w:rsidTr="00751946">
        <w:trPr>
          <w:trHeight w:val="620"/>
          <w:jc w:val="center"/>
        </w:trPr>
        <w:tc>
          <w:tcPr>
            <w:tcW w:w="1800" w:type="dxa"/>
            <w:tcBorders>
              <w:top w:val="single" w:sz="4" w:space="0" w:color="auto"/>
            </w:tcBorders>
          </w:tcPr>
          <w:p w:rsidR="00335EFC" w:rsidRPr="004E0547" w:rsidRDefault="00335EFC" w:rsidP="00751946">
            <w:pPr>
              <w:pStyle w:val="Els-table-text"/>
              <w:keepNext w:val="0"/>
              <w:widowControl w:val="0"/>
              <w:spacing w:before="100" w:beforeAutospacing="1" w:after="100" w:afterAutospacing="1" w:line="240" w:lineRule="auto"/>
              <w:rPr>
                <w:rFonts w:asciiTheme="majorBidi" w:hAnsiTheme="majorBidi" w:cstheme="majorBidi"/>
                <w:sz w:val="20"/>
              </w:rPr>
            </w:pPr>
            <w:r>
              <w:rPr>
                <w:rFonts w:asciiTheme="majorBidi" w:hAnsiTheme="majorBidi" w:cstheme="majorBidi"/>
                <w:sz w:val="20"/>
              </w:rPr>
              <w:t>p53</w:t>
            </w:r>
          </w:p>
        </w:tc>
        <w:tc>
          <w:tcPr>
            <w:tcW w:w="4546" w:type="dxa"/>
            <w:tcBorders>
              <w:top w:val="single" w:sz="4" w:space="0" w:color="auto"/>
            </w:tcBorders>
          </w:tcPr>
          <w:p w:rsidR="00335EFC" w:rsidRDefault="00335EFC" w:rsidP="00751946">
            <w:pPr>
              <w:pStyle w:val="Els-table-text"/>
              <w:widowControl w:val="0"/>
              <w:spacing w:after="0" w:line="240" w:lineRule="auto"/>
              <w:rPr>
                <w:rFonts w:asciiTheme="majorBidi" w:hAnsiTheme="majorBidi" w:cstheme="majorBidi"/>
                <w:sz w:val="20"/>
              </w:rPr>
            </w:pPr>
            <w:r>
              <w:rPr>
                <w:rFonts w:asciiTheme="majorBidi" w:hAnsiTheme="majorBidi" w:cstheme="majorBidi"/>
                <w:sz w:val="20"/>
              </w:rPr>
              <w:t>F5’GAG CTG AAT GAG GCC TTGG A3’</w:t>
            </w:r>
          </w:p>
          <w:p w:rsidR="00335EFC" w:rsidRPr="004E0547" w:rsidRDefault="00335EFC" w:rsidP="00751946">
            <w:pPr>
              <w:pStyle w:val="Els-table-text"/>
              <w:widowControl w:val="0"/>
              <w:spacing w:after="0" w:line="240" w:lineRule="auto"/>
              <w:rPr>
                <w:rFonts w:asciiTheme="majorBidi" w:hAnsiTheme="majorBidi" w:cstheme="majorBidi"/>
                <w:sz w:val="20"/>
              </w:rPr>
            </w:pPr>
            <w:proofErr w:type="gramStart"/>
            <w:r w:rsidRPr="00AE530A">
              <w:rPr>
                <w:rFonts w:asciiTheme="majorBidi" w:hAnsiTheme="majorBidi" w:cstheme="majorBidi"/>
                <w:sz w:val="20"/>
              </w:rPr>
              <w:t>R :</w:t>
            </w:r>
            <w:proofErr w:type="gramEnd"/>
            <w:r w:rsidRPr="00AE530A">
              <w:rPr>
                <w:rFonts w:asciiTheme="majorBidi" w:hAnsiTheme="majorBidi" w:cstheme="majorBidi"/>
                <w:sz w:val="20"/>
              </w:rPr>
              <w:t xml:space="preserve"> 5’CTG AGT CAG GCC CTT CCG TCT T3’</w:t>
            </w:r>
          </w:p>
        </w:tc>
      </w:tr>
      <w:tr w:rsidR="00335EFC" w:rsidRPr="004E0547" w:rsidTr="00751946">
        <w:trPr>
          <w:trHeight w:val="810"/>
          <w:jc w:val="center"/>
        </w:trPr>
        <w:tc>
          <w:tcPr>
            <w:tcW w:w="1800" w:type="dxa"/>
          </w:tcPr>
          <w:p w:rsidR="00335EFC" w:rsidRPr="004E0547" w:rsidRDefault="00335EFC" w:rsidP="00751946">
            <w:pPr>
              <w:pStyle w:val="Els-table-text"/>
              <w:keepNext w:val="0"/>
              <w:widowControl w:val="0"/>
              <w:spacing w:after="0" w:line="240" w:lineRule="auto"/>
              <w:rPr>
                <w:rFonts w:asciiTheme="majorBidi" w:hAnsiTheme="majorBidi" w:cstheme="majorBidi"/>
                <w:sz w:val="20"/>
              </w:rPr>
            </w:pPr>
            <w:r>
              <w:rPr>
                <w:rFonts w:asciiTheme="majorBidi" w:hAnsiTheme="majorBidi" w:cstheme="majorBidi"/>
                <w:sz w:val="20"/>
              </w:rPr>
              <w:t>bcl-2</w:t>
            </w:r>
          </w:p>
        </w:tc>
        <w:tc>
          <w:tcPr>
            <w:tcW w:w="4546" w:type="dxa"/>
          </w:tcPr>
          <w:p w:rsidR="00335EFC" w:rsidRPr="00335EFC" w:rsidRDefault="00335EFC" w:rsidP="00751946">
            <w:pPr>
              <w:pStyle w:val="Els-table-text"/>
              <w:widowControl w:val="0"/>
              <w:spacing w:after="0" w:line="240" w:lineRule="auto"/>
              <w:rPr>
                <w:rFonts w:asciiTheme="majorBidi" w:hAnsiTheme="majorBidi" w:cstheme="majorBidi"/>
                <w:sz w:val="20"/>
              </w:rPr>
            </w:pPr>
            <w:proofErr w:type="gramStart"/>
            <w:r w:rsidRPr="00335EFC">
              <w:rPr>
                <w:rFonts w:asciiTheme="majorBidi" w:hAnsiTheme="majorBidi" w:cstheme="majorBidi"/>
                <w:sz w:val="20"/>
              </w:rPr>
              <w:t>F :</w:t>
            </w:r>
            <w:proofErr w:type="gramEnd"/>
            <w:r w:rsidRPr="00335EFC">
              <w:rPr>
                <w:rFonts w:asciiTheme="majorBidi" w:hAnsiTheme="majorBidi" w:cstheme="majorBidi"/>
                <w:sz w:val="20"/>
              </w:rPr>
              <w:t xml:space="preserve"> 5’TTG TGG CCT TCT TTG AGT TCG GTG3’</w:t>
            </w:r>
          </w:p>
          <w:p w:rsidR="00335EFC" w:rsidRPr="004E0547" w:rsidRDefault="00335EFC" w:rsidP="00751946">
            <w:pPr>
              <w:pStyle w:val="Els-table-text"/>
              <w:keepNext w:val="0"/>
              <w:widowControl w:val="0"/>
              <w:spacing w:after="0" w:line="240" w:lineRule="auto"/>
              <w:rPr>
                <w:rFonts w:asciiTheme="majorBidi" w:hAnsiTheme="majorBidi" w:cstheme="majorBidi"/>
                <w:sz w:val="20"/>
              </w:rPr>
            </w:pPr>
            <w:proofErr w:type="gramStart"/>
            <w:r w:rsidRPr="00335EFC">
              <w:rPr>
                <w:rFonts w:asciiTheme="majorBidi" w:hAnsiTheme="majorBidi" w:cstheme="majorBidi"/>
                <w:sz w:val="20"/>
              </w:rPr>
              <w:t>R  :</w:t>
            </w:r>
            <w:proofErr w:type="gramEnd"/>
            <w:r w:rsidRPr="00335EFC">
              <w:rPr>
                <w:rFonts w:asciiTheme="majorBidi" w:hAnsiTheme="majorBidi" w:cstheme="majorBidi"/>
                <w:sz w:val="20"/>
              </w:rPr>
              <w:t xml:space="preserve">  5’GGT GCC GGT TCA GGT ACT CAG TCA3’</w:t>
            </w:r>
          </w:p>
        </w:tc>
      </w:tr>
      <w:tr w:rsidR="00335EFC" w:rsidRPr="004E0547" w:rsidTr="00F20FF6">
        <w:trPr>
          <w:trHeight w:val="558"/>
          <w:jc w:val="center"/>
        </w:trPr>
        <w:tc>
          <w:tcPr>
            <w:tcW w:w="1800" w:type="dxa"/>
            <w:tcBorders>
              <w:bottom w:val="single" w:sz="4" w:space="0" w:color="auto"/>
            </w:tcBorders>
          </w:tcPr>
          <w:p w:rsidR="00335EFC" w:rsidRPr="004E0547" w:rsidRDefault="00335EFC" w:rsidP="00751946">
            <w:pPr>
              <w:pStyle w:val="Els-table-text"/>
              <w:keepNext w:val="0"/>
              <w:widowControl w:val="0"/>
              <w:spacing w:before="100" w:beforeAutospacing="1" w:after="100" w:afterAutospacing="1" w:line="240" w:lineRule="auto"/>
              <w:rPr>
                <w:rFonts w:asciiTheme="majorBidi" w:hAnsiTheme="majorBidi" w:cstheme="majorBidi"/>
                <w:sz w:val="20"/>
              </w:rPr>
            </w:pPr>
            <w:r>
              <w:rPr>
                <w:rFonts w:asciiTheme="majorBidi" w:hAnsiTheme="majorBidi" w:cstheme="majorBidi"/>
                <w:sz w:val="20"/>
              </w:rPr>
              <w:t>GAPGH</w:t>
            </w:r>
          </w:p>
        </w:tc>
        <w:tc>
          <w:tcPr>
            <w:tcW w:w="4546" w:type="dxa"/>
            <w:tcBorders>
              <w:bottom w:val="single" w:sz="4" w:space="0" w:color="auto"/>
            </w:tcBorders>
          </w:tcPr>
          <w:p w:rsidR="00335EFC" w:rsidRPr="00335EFC" w:rsidRDefault="00335EFC" w:rsidP="00751946">
            <w:pPr>
              <w:pStyle w:val="Els-table-text"/>
              <w:widowControl w:val="0"/>
              <w:spacing w:after="0" w:line="240" w:lineRule="auto"/>
              <w:rPr>
                <w:rFonts w:asciiTheme="majorBidi" w:hAnsiTheme="majorBidi" w:cstheme="majorBidi"/>
                <w:sz w:val="20"/>
              </w:rPr>
            </w:pPr>
            <w:proofErr w:type="gramStart"/>
            <w:r w:rsidRPr="00335EFC">
              <w:rPr>
                <w:rFonts w:asciiTheme="majorBidi" w:hAnsiTheme="majorBidi" w:cstheme="majorBidi"/>
                <w:sz w:val="20"/>
              </w:rPr>
              <w:t>F :</w:t>
            </w:r>
            <w:proofErr w:type="gramEnd"/>
            <w:r w:rsidRPr="00335EFC">
              <w:rPr>
                <w:rFonts w:asciiTheme="majorBidi" w:hAnsiTheme="majorBidi" w:cstheme="majorBidi"/>
                <w:sz w:val="20"/>
              </w:rPr>
              <w:t xml:space="preserve"> 5’TGA TGA CAT CAA GAA GGT </w:t>
            </w:r>
            <w:proofErr w:type="spellStart"/>
            <w:r w:rsidRPr="00335EFC">
              <w:rPr>
                <w:rFonts w:asciiTheme="majorBidi" w:hAnsiTheme="majorBidi" w:cstheme="majorBidi"/>
                <w:sz w:val="20"/>
              </w:rPr>
              <w:t>GGT</w:t>
            </w:r>
            <w:proofErr w:type="spellEnd"/>
            <w:r w:rsidRPr="00335EFC">
              <w:rPr>
                <w:rFonts w:asciiTheme="majorBidi" w:hAnsiTheme="majorBidi" w:cstheme="majorBidi"/>
                <w:sz w:val="20"/>
              </w:rPr>
              <w:t xml:space="preserve"> GAA3’</w:t>
            </w:r>
          </w:p>
          <w:p w:rsidR="00335EFC" w:rsidRPr="004E0547" w:rsidRDefault="00335EFC" w:rsidP="00751946">
            <w:pPr>
              <w:pStyle w:val="Els-table-text"/>
              <w:keepNext w:val="0"/>
              <w:widowControl w:val="0"/>
              <w:spacing w:after="0" w:line="240" w:lineRule="auto"/>
              <w:rPr>
                <w:rFonts w:asciiTheme="majorBidi" w:hAnsiTheme="majorBidi" w:cstheme="majorBidi"/>
                <w:sz w:val="20"/>
              </w:rPr>
            </w:pPr>
            <w:proofErr w:type="gramStart"/>
            <w:r w:rsidRPr="00335EFC">
              <w:rPr>
                <w:rFonts w:asciiTheme="majorBidi" w:hAnsiTheme="majorBidi" w:cstheme="majorBidi"/>
                <w:sz w:val="20"/>
              </w:rPr>
              <w:t>R :</w:t>
            </w:r>
            <w:proofErr w:type="gramEnd"/>
            <w:r w:rsidRPr="00335EFC">
              <w:rPr>
                <w:rFonts w:asciiTheme="majorBidi" w:hAnsiTheme="majorBidi" w:cstheme="majorBidi"/>
                <w:sz w:val="20"/>
              </w:rPr>
              <w:t xml:space="preserve"> 5’TTC TTG GAG GCC ATG TGG GCC AT3’</w:t>
            </w:r>
          </w:p>
        </w:tc>
      </w:tr>
    </w:tbl>
    <w:p w:rsidR="009F01D0" w:rsidRPr="009F01D0" w:rsidRDefault="00076AFE" w:rsidP="009F01D0">
      <w:pPr>
        <w:pStyle w:val="Els-body-text"/>
        <w:widowControl w:val="0"/>
        <w:spacing w:before="100" w:beforeAutospacing="1" w:after="100" w:afterAutospacing="1" w:line="360" w:lineRule="auto"/>
        <w:ind w:firstLine="0"/>
        <w:rPr>
          <w:rFonts w:asciiTheme="majorBidi" w:hAnsiTheme="majorBidi" w:cstheme="majorBidi"/>
          <w:b/>
          <w:bCs/>
        </w:rPr>
      </w:pPr>
      <w:r>
        <w:rPr>
          <w:rFonts w:asciiTheme="majorBidi" w:hAnsiTheme="majorBidi" w:cstheme="majorBidi"/>
          <w:b/>
          <w:bCs/>
        </w:rPr>
        <w:t>Result</w:t>
      </w:r>
    </w:p>
    <w:p w:rsidR="00E368FA" w:rsidRDefault="009F01D0" w:rsidP="009F01D0">
      <w:pPr>
        <w:pStyle w:val="Els-body-text"/>
        <w:widowControl w:val="0"/>
        <w:spacing w:before="100" w:beforeAutospacing="1" w:after="100" w:afterAutospacing="1" w:line="360" w:lineRule="auto"/>
        <w:ind w:firstLine="0"/>
        <w:rPr>
          <w:rFonts w:asciiTheme="majorBidi" w:hAnsiTheme="majorBidi" w:cstheme="majorBidi"/>
          <w:bCs/>
        </w:rPr>
      </w:pPr>
      <w:r w:rsidRPr="009F01D0">
        <w:rPr>
          <w:rFonts w:asciiTheme="majorBidi" w:hAnsiTheme="majorBidi" w:cstheme="majorBidi"/>
          <w:bCs/>
        </w:rPr>
        <w:t xml:space="preserve">In 40 sample </w:t>
      </w:r>
      <w:r w:rsidR="00076AFE" w:rsidRPr="009F01D0">
        <w:rPr>
          <w:rFonts w:asciiTheme="majorBidi" w:hAnsiTheme="majorBidi" w:cstheme="majorBidi"/>
          <w:bCs/>
        </w:rPr>
        <w:t>divided</w:t>
      </w:r>
      <w:r w:rsidRPr="009F01D0">
        <w:rPr>
          <w:rFonts w:asciiTheme="majorBidi" w:hAnsiTheme="majorBidi" w:cstheme="majorBidi"/>
          <w:bCs/>
        </w:rPr>
        <w:t xml:space="preserve"> into two groups, low Gleason score (2-6) is 28 (70%) and high </w:t>
      </w:r>
      <w:r w:rsidR="00076AFE" w:rsidRPr="009F01D0">
        <w:rPr>
          <w:rFonts w:asciiTheme="majorBidi" w:hAnsiTheme="majorBidi" w:cstheme="majorBidi"/>
          <w:bCs/>
        </w:rPr>
        <w:t>Gleason</w:t>
      </w:r>
      <w:r w:rsidRPr="009F01D0">
        <w:rPr>
          <w:rFonts w:asciiTheme="majorBidi" w:hAnsiTheme="majorBidi" w:cstheme="majorBidi"/>
          <w:bCs/>
        </w:rPr>
        <w:t xml:space="preserve"> score (7-10) is 12(30%). Median age in low </w:t>
      </w:r>
      <w:r w:rsidR="00076AFE" w:rsidRPr="009F01D0">
        <w:rPr>
          <w:rFonts w:asciiTheme="majorBidi" w:hAnsiTheme="majorBidi" w:cstheme="majorBidi"/>
          <w:bCs/>
        </w:rPr>
        <w:t>Gleason</w:t>
      </w:r>
      <w:r w:rsidRPr="009F01D0">
        <w:rPr>
          <w:rFonts w:asciiTheme="majorBidi" w:hAnsiTheme="majorBidi" w:cstheme="majorBidi"/>
          <w:bCs/>
        </w:rPr>
        <w:t xml:space="preserve"> score is 70 yea</w:t>
      </w:r>
      <w:r w:rsidR="002F5023">
        <w:rPr>
          <w:rFonts w:asciiTheme="majorBidi" w:hAnsiTheme="majorBidi" w:cstheme="majorBidi"/>
          <w:bCs/>
        </w:rPr>
        <w:t xml:space="preserve">rs and high Gleason score is 67.5 </w:t>
      </w:r>
      <w:r w:rsidR="002F5023" w:rsidRPr="009F01D0">
        <w:rPr>
          <w:rFonts w:asciiTheme="majorBidi" w:hAnsiTheme="majorBidi" w:cstheme="majorBidi"/>
          <w:bCs/>
        </w:rPr>
        <w:t>years</w:t>
      </w:r>
      <w:r w:rsidRPr="009F01D0">
        <w:rPr>
          <w:rFonts w:asciiTheme="majorBidi" w:hAnsiTheme="majorBidi" w:cstheme="majorBidi"/>
          <w:bCs/>
        </w:rPr>
        <w:t xml:space="preserve">. Median PSA before TURP in low </w:t>
      </w:r>
      <w:proofErr w:type="spellStart"/>
      <w:r w:rsidRPr="009F01D0">
        <w:rPr>
          <w:rFonts w:asciiTheme="majorBidi" w:hAnsiTheme="majorBidi" w:cstheme="majorBidi"/>
          <w:bCs/>
        </w:rPr>
        <w:t>Gs</w:t>
      </w:r>
      <w:proofErr w:type="spellEnd"/>
      <w:r w:rsidRPr="009F01D0">
        <w:rPr>
          <w:rFonts w:asciiTheme="majorBidi" w:hAnsiTheme="majorBidi" w:cstheme="majorBidi"/>
          <w:bCs/>
        </w:rPr>
        <w:t xml:space="preserve"> is 12,15 ng% and high Gleason score is 12,05 ng%. Most of clinical sta</w:t>
      </w:r>
      <w:r w:rsidR="00F20FF6">
        <w:rPr>
          <w:rFonts w:asciiTheme="majorBidi" w:hAnsiTheme="majorBidi" w:cstheme="majorBidi"/>
          <w:bCs/>
        </w:rPr>
        <w:t>ging tumor is T1c</w:t>
      </w:r>
    </w:p>
    <w:p w:rsidR="00E368FA" w:rsidRDefault="009F01D0" w:rsidP="009F01D0">
      <w:pPr>
        <w:pStyle w:val="Els-body-text"/>
        <w:widowControl w:val="0"/>
        <w:spacing w:before="100" w:beforeAutospacing="1" w:after="100" w:afterAutospacing="1" w:line="360" w:lineRule="auto"/>
        <w:ind w:firstLine="0"/>
        <w:rPr>
          <w:rFonts w:asciiTheme="majorBidi" w:hAnsiTheme="majorBidi" w:cstheme="majorBidi"/>
          <w:bCs/>
        </w:rPr>
      </w:pPr>
      <w:r w:rsidRPr="009F01D0">
        <w:rPr>
          <w:rFonts w:asciiTheme="majorBidi" w:hAnsiTheme="majorBidi" w:cstheme="majorBidi"/>
          <w:bCs/>
        </w:rPr>
        <w:t xml:space="preserve">Mean of mRNA Bcl-2 expression in low Gleason score is 80.34 ± 117.60 and in high Gleason score is 31.01 ± 23.48. </w:t>
      </w:r>
      <w:r w:rsidR="00076AFE" w:rsidRPr="009F01D0">
        <w:rPr>
          <w:rFonts w:asciiTheme="majorBidi" w:hAnsiTheme="majorBidi" w:cstheme="majorBidi"/>
          <w:bCs/>
        </w:rPr>
        <w:t>Bivariate</w:t>
      </w:r>
      <w:r w:rsidRPr="009F01D0">
        <w:rPr>
          <w:rFonts w:asciiTheme="majorBidi" w:hAnsiTheme="majorBidi" w:cstheme="majorBidi"/>
          <w:bCs/>
        </w:rPr>
        <w:t xml:space="preserve"> analysis mRNA Bcl-2 </w:t>
      </w:r>
      <w:r w:rsidR="00076AFE" w:rsidRPr="009F01D0">
        <w:rPr>
          <w:rFonts w:asciiTheme="majorBidi" w:hAnsiTheme="majorBidi" w:cstheme="majorBidi"/>
          <w:bCs/>
        </w:rPr>
        <w:t>correlate</w:t>
      </w:r>
      <w:r w:rsidR="00076AFE">
        <w:rPr>
          <w:rFonts w:asciiTheme="majorBidi" w:hAnsiTheme="majorBidi" w:cstheme="majorBidi"/>
          <w:bCs/>
        </w:rPr>
        <w:t xml:space="preserve"> not significant to Gleaso</w:t>
      </w:r>
      <w:r w:rsidRPr="009F01D0">
        <w:rPr>
          <w:rFonts w:asciiTheme="majorBidi" w:hAnsiTheme="majorBidi" w:cstheme="majorBidi"/>
          <w:bCs/>
        </w:rPr>
        <w:t xml:space="preserve">n score </w:t>
      </w:r>
      <w:r w:rsidR="00076AFE" w:rsidRPr="009F01D0">
        <w:rPr>
          <w:rFonts w:asciiTheme="majorBidi" w:hAnsiTheme="majorBidi" w:cstheme="majorBidi"/>
          <w:bCs/>
        </w:rPr>
        <w:t>although</w:t>
      </w:r>
      <w:r w:rsidRPr="009F01D0">
        <w:rPr>
          <w:rFonts w:asciiTheme="majorBidi" w:hAnsiTheme="majorBidi" w:cstheme="majorBidi"/>
          <w:bCs/>
        </w:rPr>
        <w:t xml:space="preserve"> the trend is rising in high Gleason score.</w:t>
      </w:r>
      <w:r w:rsidR="00F20FF6">
        <w:rPr>
          <w:rFonts w:asciiTheme="majorBidi" w:hAnsiTheme="majorBidi" w:cstheme="majorBidi"/>
          <w:bCs/>
        </w:rPr>
        <w:t xml:space="preserve"> </w:t>
      </w:r>
      <w:r w:rsidRPr="009F01D0">
        <w:rPr>
          <w:rFonts w:asciiTheme="majorBidi" w:hAnsiTheme="majorBidi" w:cstheme="majorBidi"/>
          <w:bCs/>
        </w:rPr>
        <w:t xml:space="preserve">Mean of mRNA P53 expression in low Gleason score is 243.52 ± 490.52 and in high Gleason score is 20.47 ± 24.08. </w:t>
      </w:r>
      <w:r w:rsidR="00076AFE" w:rsidRPr="009F01D0">
        <w:rPr>
          <w:rFonts w:asciiTheme="majorBidi" w:hAnsiTheme="majorBidi" w:cstheme="majorBidi"/>
          <w:bCs/>
        </w:rPr>
        <w:t>Bivariate</w:t>
      </w:r>
      <w:r w:rsidRPr="009F01D0">
        <w:rPr>
          <w:rFonts w:asciiTheme="majorBidi" w:hAnsiTheme="majorBidi" w:cstheme="majorBidi"/>
          <w:bCs/>
        </w:rPr>
        <w:t xml:space="preserve"> analysis of mRNA P53 and Gleason score refer to si</w:t>
      </w:r>
      <w:r w:rsidR="00AE530A">
        <w:rPr>
          <w:rFonts w:asciiTheme="majorBidi" w:hAnsiTheme="majorBidi" w:cstheme="majorBidi"/>
          <w:bCs/>
        </w:rPr>
        <w:t>gnificant correlation (p value &lt;</w:t>
      </w:r>
      <w:r w:rsidR="00076AFE">
        <w:rPr>
          <w:rFonts w:asciiTheme="majorBidi" w:hAnsiTheme="majorBidi" w:cstheme="majorBidi"/>
          <w:bCs/>
        </w:rPr>
        <w:t xml:space="preserve"> 0,001)</w:t>
      </w:r>
      <w:r w:rsidRPr="009F01D0">
        <w:rPr>
          <w:rFonts w:asciiTheme="majorBidi" w:hAnsiTheme="majorBidi" w:cstheme="majorBidi"/>
          <w:bCs/>
        </w:rPr>
        <w:t xml:space="preserve">. </w:t>
      </w:r>
    </w:p>
    <w:p w:rsidR="00E368FA" w:rsidRDefault="00E368FA" w:rsidP="009F01D0">
      <w:pPr>
        <w:pStyle w:val="Els-body-text"/>
        <w:widowControl w:val="0"/>
        <w:spacing w:before="100" w:beforeAutospacing="1" w:after="100" w:afterAutospacing="1" w:line="360" w:lineRule="auto"/>
        <w:ind w:firstLine="0"/>
        <w:rPr>
          <w:rFonts w:asciiTheme="majorBidi" w:hAnsiTheme="majorBidi" w:cstheme="majorBidi"/>
          <w:bCs/>
        </w:rPr>
      </w:pPr>
    </w:p>
    <w:p w:rsidR="007C444E" w:rsidRDefault="007C444E" w:rsidP="00CF5DDA">
      <w:pPr>
        <w:pStyle w:val="Els-caption"/>
        <w:keepLines w:val="0"/>
        <w:widowControl w:val="0"/>
        <w:spacing w:before="100" w:beforeAutospacing="1" w:after="100" w:afterAutospacing="1" w:line="360" w:lineRule="auto"/>
        <w:rPr>
          <w:rFonts w:asciiTheme="majorBidi" w:hAnsiTheme="majorBidi" w:cstheme="majorBidi"/>
          <w:b/>
          <w:bCs/>
          <w:sz w:val="20"/>
        </w:rPr>
      </w:pPr>
    </w:p>
    <w:p w:rsidR="007C444E" w:rsidRPr="004E0547" w:rsidRDefault="007C444E" w:rsidP="007C444E">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lastRenderedPageBreak/>
        <w:t xml:space="preserve">Table </w:t>
      </w:r>
      <w:r>
        <w:rPr>
          <w:rFonts w:asciiTheme="majorBidi" w:hAnsiTheme="majorBidi" w:cstheme="majorBidi"/>
          <w:b/>
          <w:bCs/>
          <w:sz w:val="20"/>
        </w:rPr>
        <w:t>2</w:t>
      </w:r>
      <w:r w:rsidRPr="004E0547">
        <w:rPr>
          <w:rFonts w:asciiTheme="majorBidi" w:hAnsiTheme="majorBidi" w:cstheme="majorBidi"/>
          <w:b/>
          <w:bCs/>
          <w:sz w:val="20"/>
        </w:rPr>
        <w:t>:</w:t>
      </w:r>
      <w:r w:rsidRPr="004E0547">
        <w:rPr>
          <w:rFonts w:asciiTheme="majorBidi" w:hAnsiTheme="majorBidi" w:cstheme="majorBidi"/>
          <w:sz w:val="20"/>
        </w:rPr>
        <w:t xml:space="preserve"> </w:t>
      </w:r>
      <w:r>
        <w:rPr>
          <w:rFonts w:asciiTheme="majorBidi" w:hAnsiTheme="majorBidi" w:cstheme="majorBidi"/>
          <w:sz w:val="20"/>
        </w:rPr>
        <w:t>Sample Characteristic</w:t>
      </w:r>
    </w:p>
    <w:tbl>
      <w:tblPr>
        <w:tblW w:w="0" w:type="auto"/>
        <w:jc w:val="center"/>
        <w:tblLook w:val="01E0" w:firstRow="1" w:lastRow="1" w:firstColumn="1" w:lastColumn="1" w:noHBand="0" w:noVBand="0"/>
      </w:tblPr>
      <w:tblGrid>
        <w:gridCol w:w="3371"/>
        <w:gridCol w:w="1485"/>
        <w:gridCol w:w="1485"/>
      </w:tblGrid>
      <w:tr w:rsidR="007C444E" w:rsidRPr="007C444E" w:rsidTr="00E368FA">
        <w:trPr>
          <w:trHeight w:val="345"/>
          <w:jc w:val="center"/>
        </w:trPr>
        <w:tc>
          <w:tcPr>
            <w:tcW w:w="3371" w:type="dxa"/>
            <w:tcBorders>
              <w:top w:val="single" w:sz="4" w:space="0" w:color="auto"/>
            </w:tcBorders>
          </w:tcPr>
          <w:p w:rsidR="007C444E" w:rsidRPr="007C444E" w:rsidRDefault="007C444E" w:rsidP="007C444E">
            <w:pPr>
              <w:widowControl w:val="0"/>
              <w:spacing w:before="100" w:beforeAutospacing="1" w:after="100" w:afterAutospacing="1" w:line="360" w:lineRule="auto"/>
              <w:rPr>
                <w:rFonts w:asciiTheme="majorBidi" w:eastAsia="Times New Roman" w:hAnsiTheme="majorBidi" w:cstheme="majorBidi"/>
                <w:b/>
                <w:sz w:val="20"/>
                <w:szCs w:val="20"/>
              </w:rPr>
            </w:pPr>
          </w:p>
        </w:tc>
        <w:tc>
          <w:tcPr>
            <w:tcW w:w="2970" w:type="dxa"/>
            <w:gridSpan w:val="2"/>
            <w:tcBorders>
              <w:top w:val="single" w:sz="4" w:space="0" w:color="auto"/>
            </w:tcBorders>
          </w:tcPr>
          <w:p w:rsidR="007C444E" w:rsidRPr="007C444E" w:rsidRDefault="007C444E" w:rsidP="007C444E">
            <w:pPr>
              <w:widowControl w:val="0"/>
              <w:spacing w:before="100" w:beforeAutospacing="1" w:after="100" w:afterAutospacing="1"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Group</w:t>
            </w:r>
          </w:p>
        </w:tc>
      </w:tr>
      <w:tr w:rsidR="007C444E" w:rsidRPr="007C444E" w:rsidTr="00CF5DDA">
        <w:trPr>
          <w:trHeight w:val="675"/>
          <w:jc w:val="center"/>
        </w:trPr>
        <w:tc>
          <w:tcPr>
            <w:tcW w:w="3371" w:type="dxa"/>
            <w:tcBorders>
              <w:bottom w:val="single" w:sz="4" w:space="0" w:color="auto"/>
            </w:tcBorders>
          </w:tcPr>
          <w:p w:rsidR="007C444E" w:rsidRPr="00CF5DDA" w:rsidRDefault="007C444E" w:rsidP="007C444E">
            <w:pPr>
              <w:widowControl w:val="0"/>
              <w:spacing w:after="0"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Variable</w:t>
            </w:r>
          </w:p>
        </w:tc>
        <w:tc>
          <w:tcPr>
            <w:tcW w:w="1485" w:type="dxa"/>
            <w:tcBorders>
              <w:bottom w:val="single" w:sz="4" w:space="0" w:color="auto"/>
            </w:tcBorders>
          </w:tcPr>
          <w:p w:rsidR="007C444E" w:rsidRPr="00CF5DDA" w:rsidRDefault="007C444E" w:rsidP="005C0361">
            <w:pPr>
              <w:widowControl w:val="0"/>
              <w:spacing w:after="0"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GS 2-6</w:t>
            </w:r>
          </w:p>
          <w:p w:rsidR="007C444E" w:rsidRPr="00CF5DDA" w:rsidRDefault="007C444E" w:rsidP="005C0361">
            <w:pPr>
              <w:widowControl w:val="0"/>
              <w:spacing w:after="0"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N=28</w:t>
            </w:r>
          </w:p>
        </w:tc>
        <w:tc>
          <w:tcPr>
            <w:tcW w:w="1485" w:type="dxa"/>
            <w:tcBorders>
              <w:bottom w:val="single" w:sz="4" w:space="0" w:color="auto"/>
            </w:tcBorders>
          </w:tcPr>
          <w:p w:rsidR="007C444E" w:rsidRPr="00CF5DDA" w:rsidRDefault="007C444E" w:rsidP="005C0361">
            <w:pPr>
              <w:widowControl w:val="0"/>
              <w:spacing w:after="0"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GS 7-10</w:t>
            </w:r>
          </w:p>
          <w:p w:rsidR="007C444E" w:rsidRPr="00CF5DDA" w:rsidRDefault="007C444E" w:rsidP="005C0361">
            <w:pPr>
              <w:widowControl w:val="0"/>
              <w:spacing w:after="0"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N=12</w:t>
            </w:r>
          </w:p>
        </w:tc>
      </w:tr>
      <w:tr w:rsidR="007C444E" w:rsidRPr="007C444E" w:rsidTr="00CF5DDA">
        <w:trPr>
          <w:trHeight w:val="4613"/>
          <w:jc w:val="center"/>
        </w:trPr>
        <w:tc>
          <w:tcPr>
            <w:tcW w:w="3371" w:type="dxa"/>
            <w:tcBorders>
              <w:top w:val="single" w:sz="4" w:space="0" w:color="auto"/>
              <w:bottom w:val="single" w:sz="4" w:space="0" w:color="auto"/>
            </w:tcBorders>
          </w:tcPr>
          <w:p w:rsidR="007C444E" w:rsidRDefault="007C444E" w:rsidP="005C0361">
            <w:pPr>
              <w:widowControl w:val="0"/>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Age </w:t>
            </w:r>
          </w:p>
          <w:p w:rsidR="007C444E" w:rsidRDefault="007C444E"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Median</w:t>
            </w:r>
          </w:p>
          <w:p w:rsidR="007C444E" w:rsidRDefault="007C444E"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Min-Max</w:t>
            </w:r>
          </w:p>
          <w:p w:rsidR="005C0361" w:rsidRDefault="005C0361" w:rsidP="005C0361">
            <w:pPr>
              <w:widowControl w:val="0"/>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PSA</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Median</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Min-max</w:t>
            </w:r>
          </w:p>
          <w:p w:rsidR="005C0361" w:rsidRDefault="005C0361" w:rsidP="005C0361">
            <w:pPr>
              <w:widowControl w:val="0"/>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Tumor</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T1c</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T2a</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T2b</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T2c</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T3a</w:t>
            </w:r>
          </w:p>
          <w:p w:rsidR="005C0361" w:rsidRPr="007C444E"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T4</w:t>
            </w:r>
          </w:p>
        </w:tc>
        <w:tc>
          <w:tcPr>
            <w:tcW w:w="1485" w:type="dxa"/>
            <w:tcBorders>
              <w:top w:val="single" w:sz="4" w:space="0" w:color="auto"/>
              <w:bottom w:val="single" w:sz="4" w:space="0" w:color="auto"/>
            </w:tcBorders>
          </w:tcPr>
          <w:p w:rsidR="007C444E" w:rsidRDefault="007C444E" w:rsidP="005C0361">
            <w:pPr>
              <w:widowControl w:val="0"/>
              <w:spacing w:after="0" w:line="360" w:lineRule="auto"/>
              <w:jc w:val="center"/>
              <w:rPr>
                <w:rFonts w:asciiTheme="majorBidi" w:eastAsia="Times New Roman" w:hAnsiTheme="majorBidi" w:cstheme="majorBidi"/>
                <w:sz w:val="20"/>
                <w:szCs w:val="20"/>
              </w:rPr>
            </w:pPr>
          </w:p>
          <w:p w:rsidR="007C444E" w:rsidRDefault="007C444E"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70</w:t>
            </w:r>
          </w:p>
          <w:p w:rsidR="007C444E" w:rsidRDefault="007C444E"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60-82</w:t>
            </w:r>
          </w:p>
          <w:p w:rsidR="005C0361" w:rsidRDefault="005C0361" w:rsidP="005C0361">
            <w:pPr>
              <w:widowControl w:val="0"/>
              <w:spacing w:after="0" w:line="360" w:lineRule="auto"/>
              <w:jc w:val="center"/>
              <w:rPr>
                <w:rFonts w:asciiTheme="majorBidi" w:eastAsia="Times New Roman" w:hAnsiTheme="majorBidi" w:cstheme="majorBidi"/>
                <w:sz w:val="20"/>
                <w:szCs w:val="20"/>
              </w:rPr>
            </w:pP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12.15</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4.5-100</w:t>
            </w:r>
          </w:p>
          <w:p w:rsidR="005C0361" w:rsidRDefault="005C0361" w:rsidP="005C0361">
            <w:pPr>
              <w:widowControl w:val="0"/>
              <w:spacing w:after="0" w:line="360" w:lineRule="auto"/>
              <w:jc w:val="center"/>
              <w:rPr>
                <w:rFonts w:asciiTheme="majorBidi" w:eastAsia="Times New Roman" w:hAnsiTheme="majorBidi" w:cstheme="majorBidi"/>
                <w:sz w:val="20"/>
                <w:szCs w:val="20"/>
              </w:rPr>
            </w:pP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13 (46.4%)</w:t>
            </w:r>
          </w:p>
          <w:p w:rsidR="005C0361" w:rsidRPr="005C0361" w:rsidRDefault="005C0361" w:rsidP="005C0361">
            <w:pPr>
              <w:spacing w:after="0" w:line="360" w:lineRule="auto"/>
              <w:jc w:val="center"/>
              <w:rPr>
                <w:rFonts w:ascii="Times New Roman" w:hAnsi="Times New Roman"/>
                <w:sz w:val="20"/>
                <w:szCs w:val="20"/>
              </w:rPr>
            </w:pPr>
            <w:proofErr w:type="gramStart"/>
            <w:r w:rsidRPr="005C0361">
              <w:rPr>
                <w:rFonts w:ascii="Times New Roman" w:hAnsi="Times New Roman"/>
                <w:sz w:val="20"/>
                <w:szCs w:val="20"/>
              </w:rPr>
              <w:t>2  (</w:t>
            </w:r>
            <w:proofErr w:type="gramEnd"/>
            <w:r w:rsidRPr="005C0361">
              <w:rPr>
                <w:rFonts w:ascii="Times New Roman" w:hAnsi="Times New Roman"/>
                <w:sz w:val="20"/>
                <w:szCs w:val="20"/>
              </w:rPr>
              <w:t>7.1%)</w:t>
            </w: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5 (55.6%)</w:t>
            </w: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5 (17.9%)</w:t>
            </w: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0 (0%)</w:t>
            </w:r>
          </w:p>
          <w:p w:rsidR="005C0361" w:rsidRPr="007C444E" w:rsidRDefault="005C0361" w:rsidP="005C0361">
            <w:pPr>
              <w:widowControl w:val="0"/>
              <w:spacing w:after="0" w:line="360" w:lineRule="auto"/>
              <w:jc w:val="center"/>
              <w:rPr>
                <w:rFonts w:asciiTheme="majorBidi" w:eastAsia="Times New Roman" w:hAnsiTheme="majorBidi" w:cstheme="majorBidi"/>
                <w:sz w:val="20"/>
                <w:szCs w:val="20"/>
              </w:rPr>
            </w:pPr>
            <w:r w:rsidRPr="005C0361">
              <w:rPr>
                <w:rFonts w:ascii="Times New Roman" w:hAnsi="Times New Roman"/>
                <w:sz w:val="20"/>
                <w:szCs w:val="20"/>
              </w:rPr>
              <w:t>3 (10.7%)</w:t>
            </w:r>
          </w:p>
        </w:tc>
        <w:tc>
          <w:tcPr>
            <w:tcW w:w="1485" w:type="dxa"/>
            <w:tcBorders>
              <w:top w:val="single" w:sz="4" w:space="0" w:color="auto"/>
              <w:bottom w:val="single" w:sz="4" w:space="0" w:color="auto"/>
            </w:tcBorders>
          </w:tcPr>
          <w:p w:rsidR="007C444E" w:rsidRDefault="007C444E" w:rsidP="005C0361">
            <w:pPr>
              <w:widowControl w:val="0"/>
              <w:spacing w:after="0" w:line="360" w:lineRule="auto"/>
              <w:jc w:val="center"/>
              <w:rPr>
                <w:rFonts w:asciiTheme="majorBidi" w:eastAsia="Times New Roman" w:hAnsiTheme="majorBidi" w:cstheme="majorBidi"/>
                <w:sz w:val="20"/>
                <w:szCs w:val="20"/>
              </w:rPr>
            </w:pPr>
          </w:p>
          <w:p w:rsidR="007C444E" w:rsidRDefault="007C444E"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67.5</w:t>
            </w:r>
          </w:p>
          <w:p w:rsidR="007C444E" w:rsidRDefault="007C444E"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57-78</w:t>
            </w:r>
          </w:p>
          <w:p w:rsidR="007C444E" w:rsidRDefault="007C444E" w:rsidP="005C0361">
            <w:pPr>
              <w:widowControl w:val="0"/>
              <w:spacing w:after="0" w:line="360" w:lineRule="auto"/>
              <w:jc w:val="center"/>
              <w:rPr>
                <w:rFonts w:asciiTheme="majorBidi" w:eastAsia="Times New Roman" w:hAnsiTheme="majorBidi" w:cstheme="majorBidi"/>
                <w:sz w:val="20"/>
                <w:szCs w:val="20"/>
              </w:rPr>
            </w:pP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12.05</w:t>
            </w:r>
          </w:p>
          <w:p w:rsidR="005C0361" w:rsidRDefault="005C0361" w:rsidP="005C0361">
            <w:pPr>
              <w:widowControl w:val="0"/>
              <w:spacing w:after="0" w:line="36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5.4-76.4</w:t>
            </w:r>
          </w:p>
          <w:p w:rsidR="005C0361" w:rsidRDefault="005C0361" w:rsidP="005C0361">
            <w:pPr>
              <w:widowControl w:val="0"/>
              <w:spacing w:after="0" w:line="360" w:lineRule="auto"/>
              <w:jc w:val="center"/>
              <w:rPr>
                <w:rFonts w:asciiTheme="majorBidi" w:eastAsia="Times New Roman" w:hAnsiTheme="majorBidi" w:cstheme="majorBidi"/>
                <w:sz w:val="20"/>
                <w:szCs w:val="20"/>
              </w:rPr>
            </w:pP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6 (50%)</w:t>
            </w: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1 (8.3%)</w:t>
            </w: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4 33.3%)</w:t>
            </w: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0 (0%)</w:t>
            </w:r>
          </w:p>
          <w:p w:rsidR="005C0361" w:rsidRPr="005C0361" w:rsidRDefault="005C0361" w:rsidP="005C0361">
            <w:pPr>
              <w:spacing w:after="0" w:line="360" w:lineRule="auto"/>
              <w:jc w:val="center"/>
              <w:rPr>
                <w:rFonts w:ascii="Times New Roman" w:hAnsi="Times New Roman"/>
                <w:sz w:val="20"/>
                <w:szCs w:val="20"/>
              </w:rPr>
            </w:pPr>
            <w:r w:rsidRPr="005C0361">
              <w:rPr>
                <w:rFonts w:ascii="Times New Roman" w:hAnsi="Times New Roman"/>
                <w:sz w:val="20"/>
                <w:szCs w:val="20"/>
              </w:rPr>
              <w:t>1 (8.3%)</w:t>
            </w:r>
          </w:p>
          <w:p w:rsidR="005C0361" w:rsidRPr="007C444E" w:rsidRDefault="005C0361" w:rsidP="005C0361">
            <w:pPr>
              <w:widowControl w:val="0"/>
              <w:spacing w:after="0" w:line="360" w:lineRule="auto"/>
              <w:jc w:val="center"/>
              <w:rPr>
                <w:rFonts w:asciiTheme="majorBidi" w:eastAsia="Times New Roman" w:hAnsiTheme="majorBidi" w:cstheme="majorBidi"/>
                <w:sz w:val="20"/>
                <w:szCs w:val="20"/>
              </w:rPr>
            </w:pPr>
            <w:r w:rsidRPr="005C0361">
              <w:rPr>
                <w:rFonts w:ascii="Times New Roman" w:hAnsi="Times New Roman"/>
                <w:sz w:val="20"/>
                <w:szCs w:val="20"/>
              </w:rPr>
              <w:t>0 (0%)</w:t>
            </w:r>
          </w:p>
        </w:tc>
      </w:tr>
    </w:tbl>
    <w:p w:rsidR="00CF5DDA" w:rsidRDefault="00CF5DDA" w:rsidP="00CF5DDA">
      <w:pPr>
        <w:widowControl w:val="0"/>
        <w:spacing w:before="100" w:beforeAutospacing="1" w:after="100" w:afterAutospacing="1" w:line="360" w:lineRule="auto"/>
        <w:rPr>
          <w:rFonts w:asciiTheme="majorBidi" w:eastAsia="Times New Roman" w:hAnsiTheme="majorBidi" w:cstheme="majorBidi"/>
          <w:b/>
          <w:bCs/>
          <w:sz w:val="20"/>
          <w:szCs w:val="20"/>
        </w:rPr>
      </w:pPr>
    </w:p>
    <w:p w:rsidR="00E368FA" w:rsidRPr="00E368FA" w:rsidRDefault="00076AFE" w:rsidP="00E368FA">
      <w:pPr>
        <w:widowControl w:val="0"/>
        <w:spacing w:before="100" w:beforeAutospacing="1" w:after="100" w:afterAutospacing="1" w:line="360" w:lineRule="auto"/>
        <w:jc w:val="center"/>
        <w:rPr>
          <w:rFonts w:asciiTheme="majorBidi" w:eastAsia="Times New Roman" w:hAnsiTheme="majorBidi" w:cstheme="majorBidi"/>
          <w:sz w:val="20"/>
          <w:szCs w:val="20"/>
        </w:rPr>
      </w:pPr>
      <w:r>
        <w:rPr>
          <w:rFonts w:asciiTheme="majorBidi" w:eastAsia="Times New Roman" w:hAnsiTheme="majorBidi" w:cstheme="majorBidi"/>
          <w:b/>
          <w:bCs/>
          <w:sz w:val="20"/>
          <w:szCs w:val="20"/>
        </w:rPr>
        <w:t>Table 3</w:t>
      </w:r>
      <w:r w:rsidR="00E368FA" w:rsidRPr="00E368FA">
        <w:rPr>
          <w:rFonts w:asciiTheme="majorBidi" w:eastAsia="Times New Roman" w:hAnsiTheme="majorBidi" w:cstheme="majorBidi"/>
          <w:b/>
          <w:bCs/>
          <w:sz w:val="20"/>
          <w:szCs w:val="20"/>
        </w:rPr>
        <w:t>:</w:t>
      </w:r>
      <w:r w:rsidR="00E368FA" w:rsidRPr="00E368FA">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B</w:t>
      </w:r>
      <w:r w:rsidRPr="00CF5DDA">
        <w:rPr>
          <w:rFonts w:asciiTheme="majorBidi" w:eastAsia="Times New Roman" w:hAnsiTheme="majorBidi" w:cstheme="majorBidi"/>
          <w:sz w:val="20"/>
          <w:szCs w:val="20"/>
        </w:rPr>
        <w:t>ivariate</w:t>
      </w:r>
      <w:r w:rsidR="00CF5DDA">
        <w:rPr>
          <w:rFonts w:asciiTheme="majorBidi" w:eastAsia="Times New Roman" w:hAnsiTheme="majorBidi" w:cstheme="majorBidi"/>
          <w:sz w:val="20"/>
          <w:szCs w:val="20"/>
        </w:rPr>
        <w:t xml:space="preserve"> analysis</w:t>
      </w:r>
      <w:r w:rsidR="00CF5DDA" w:rsidRPr="00CF5DDA">
        <w:rPr>
          <w:rFonts w:asciiTheme="majorBidi" w:eastAsia="Times New Roman" w:hAnsiTheme="majorBidi" w:cstheme="majorBidi"/>
          <w:sz w:val="20"/>
          <w:szCs w:val="20"/>
        </w:rPr>
        <w:t xml:space="preserve"> between mRNA p53 and low GS (2-6) </w:t>
      </w:r>
      <w:r w:rsidRPr="00CF5DDA">
        <w:rPr>
          <w:rFonts w:asciiTheme="majorBidi" w:eastAsia="Times New Roman" w:hAnsiTheme="majorBidi" w:cstheme="majorBidi"/>
          <w:sz w:val="20"/>
          <w:szCs w:val="20"/>
        </w:rPr>
        <w:t>and high</w:t>
      </w:r>
      <w:r w:rsidR="00CF5DDA" w:rsidRPr="00CF5DDA">
        <w:rPr>
          <w:rFonts w:asciiTheme="majorBidi" w:eastAsia="Times New Roman" w:hAnsiTheme="majorBidi" w:cstheme="majorBidi"/>
          <w:sz w:val="20"/>
          <w:szCs w:val="20"/>
        </w:rPr>
        <w:t xml:space="preserve"> GS (7-10</w:t>
      </w:r>
      <w:r w:rsidR="00CF5DDA">
        <w:rPr>
          <w:rFonts w:asciiTheme="majorBidi" w:eastAsia="Times New Roman" w:hAnsiTheme="majorBidi" w:cstheme="majorBidi"/>
          <w:sz w:val="20"/>
          <w:szCs w:val="20"/>
        </w:rPr>
        <w:t>)</w:t>
      </w:r>
    </w:p>
    <w:tbl>
      <w:tblPr>
        <w:tblW w:w="0" w:type="auto"/>
        <w:jc w:val="center"/>
        <w:tblLook w:val="01E0" w:firstRow="1" w:lastRow="1" w:firstColumn="1" w:lastColumn="1" w:noHBand="0" w:noVBand="0"/>
      </w:tblPr>
      <w:tblGrid>
        <w:gridCol w:w="2187"/>
        <w:gridCol w:w="450"/>
        <w:gridCol w:w="450"/>
        <w:gridCol w:w="1710"/>
        <w:gridCol w:w="1394"/>
        <w:gridCol w:w="1450"/>
      </w:tblGrid>
      <w:tr w:rsidR="00E368FA" w:rsidRPr="00E368FA" w:rsidTr="00CF5DDA">
        <w:trPr>
          <w:jc w:val="center"/>
        </w:trPr>
        <w:tc>
          <w:tcPr>
            <w:tcW w:w="2187" w:type="dxa"/>
            <w:tcBorders>
              <w:top w:val="single" w:sz="4" w:space="0" w:color="auto"/>
            </w:tcBorders>
          </w:tcPr>
          <w:p w:rsidR="00E368FA" w:rsidRPr="00E368FA" w:rsidRDefault="00E368FA" w:rsidP="00E368FA">
            <w:pPr>
              <w:widowControl w:val="0"/>
              <w:spacing w:before="100" w:beforeAutospacing="1" w:after="100" w:afterAutospacing="1" w:line="360" w:lineRule="auto"/>
              <w:rPr>
                <w:rFonts w:asciiTheme="majorBidi" w:eastAsia="Times New Roman" w:hAnsiTheme="majorBidi" w:cstheme="majorBidi"/>
                <w:sz w:val="20"/>
                <w:szCs w:val="20"/>
              </w:rPr>
            </w:pPr>
          </w:p>
        </w:tc>
        <w:tc>
          <w:tcPr>
            <w:tcW w:w="4004" w:type="dxa"/>
            <w:gridSpan w:val="4"/>
            <w:tcBorders>
              <w:top w:val="single" w:sz="4" w:space="0" w:color="auto"/>
            </w:tcBorders>
          </w:tcPr>
          <w:p w:rsidR="00E368FA" w:rsidRPr="00CF5DDA" w:rsidRDefault="00E368FA" w:rsidP="00CF5DDA">
            <w:pPr>
              <w:widowControl w:val="0"/>
              <w:spacing w:before="100" w:beforeAutospacing="1" w:after="100" w:afterAutospacing="1"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Group</w:t>
            </w:r>
          </w:p>
        </w:tc>
        <w:tc>
          <w:tcPr>
            <w:tcW w:w="1450" w:type="dxa"/>
            <w:tcBorders>
              <w:top w:val="single" w:sz="4" w:space="0" w:color="auto"/>
            </w:tcBorders>
          </w:tcPr>
          <w:p w:rsidR="00E368FA" w:rsidRPr="00E368FA" w:rsidRDefault="00E368FA" w:rsidP="00E368FA">
            <w:pPr>
              <w:widowControl w:val="0"/>
              <w:spacing w:before="100" w:beforeAutospacing="1" w:after="100" w:afterAutospacing="1" w:line="360" w:lineRule="auto"/>
              <w:rPr>
                <w:rFonts w:asciiTheme="majorBidi" w:eastAsia="Times New Roman" w:hAnsiTheme="majorBidi" w:cstheme="majorBidi"/>
                <w:sz w:val="20"/>
                <w:szCs w:val="20"/>
              </w:rPr>
            </w:pPr>
          </w:p>
        </w:tc>
      </w:tr>
      <w:tr w:rsidR="00E368FA" w:rsidRPr="00E368FA" w:rsidTr="00CF5DDA">
        <w:trPr>
          <w:jc w:val="center"/>
        </w:trPr>
        <w:tc>
          <w:tcPr>
            <w:tcW w:w="2187" w:type="dxa"/>
          </w:tcPr>
          <w:p w:rsidR="00E368FA" w:rsidRPr="00E368FA" w:rsidRDefault="00E368FA" w:rsidP="00CF5DDA">
            <w:pPr>
              <w:widowControl w:val="0"/>
              <w:spacing w:before="100" w:beforeAutospacing="1" w:after="100" w:afterAutospacing="1"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Variable</w:t>
            </w:r>
          </w:p>
        </w:tc>
        <w:tc>
          <w:tcPr>
            <w:tcW w:w="2610" w:type="dxa"/>
            <w:gridSpan w:val="3"/>
          </w:tcPr>
          <w:p w:rsidR="00E368FA" w:rsidRPr="00E368FA" w:rsidRDefault="00CF5DDA" w:rsidP="00CF5DDA">
            <w:pPr>
              <w:widowControl w:val="0"/>
              <w:spacing w:before="100" w:beforeAutospacing="1" w:after="100" w:afterAutospacing="1" w:line="360" w:lineRule="auto"/>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 xml:space="preserve">                 </w:t>
            </w:r>
            <w:r w:rsidR="00E368FA" w:rsidRPr="00CF5DDA">
              <w:rPr>
                <w:rFonts w:asciiTheme="majorBidi" w:eastAsia="Times New Roman" w:hAnsiTheme="majorBidi" w:cstheme="majorBidi"/>
                <w:b/>
                <w:sz w:val="20"/>
                <w:szCs w:val="20"/>
              </w:rPr>
              <w:t>GS 2-6</w:t>
            </w:r>
          </w:p>
        </w:tc>
        <w:tc>
          <w:tcPr>
            <w:tcW w:w="1394" w:type="dxa"/>
          </w:tcPr>
          <w:p w:rsidR="00E368FA" w:rsidRPr="00E368FA" w:rsidRDefault="00CF5DDA" w:rsidP="00CF5DDA">
            <w:pPr>
              <w:widowControl w:val="0"/>
              <w:spacing w:before="100" w:beforeAutospacing="1" w:after="100" w:afterAutospacing="1" w:line="360" w:lineRule="auto"/>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 xml:space="preserve">     </w:t>
            </w:r>
            <w:r w:rsidR="00E368FA" w:rsidRPr="00CF5DDA">
              <w:rPr>
                <w:rFonts w:asciiTheme="majorBidi" w:eastAsia="Times New Roman" w:hAnsiTheme="majorBidi" w:cstheme="majorBidi"/>
                <w:b/>
                <w:sz w:val="20"/>
                <w:szCs w:val="20"/>
              </w:rPr>
              <w:t>GS 7-10</w:t>
            </w:r>
          </w:p>
        </w:tc>
        <w:tc>
          <w:tcPr>
            <w:tcW w:w="1450" w:type="dxa"/>
          </w:tcPr>
          <w:p w:rsidR="00E368FA" w:rsidRPr="00CF5DDA" w:rsidRDefault="00E368FA" w:rsidP="00CF5DDA">
            <w:pPr>
              <w:widowControl w:val="0"/>
              <w:spacing w:before="100" w:beforeAutospacing="1" w:after="100" w:afterAutospacing="1" w:line="360" w:lineRule="auto"/>
              <w:jc w:val="center"/>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P Value</w:t>
            </w:r>
          </w:p>
        </w:tc>
      </w:tr>
      <w:tr w:rsidR="00E368FA" w:rsidRPr="00E368FA" w:rsidTr="00CF5DDA">
        <w:trPr>
          <w:jc w:val="center"/>
        </w:trPr>
        <w:tc>
          <w:tcPr>
            <w:tcW w:w="3087" w:type="dxa"/>
            <w:gridSpan w:val="3"/>
            <w:tcBorders>
              <w:bottom w:val="single" w:sz="4" w:space="0" w:color="auto"/>
            </w:tcBorders>
          </w:tcPr>
          <w:p w:rsidR="00E368FA" w:rsidRPr="00CF5DDA" w:rsidRDefault="00E368FA" w:rsidP="00E368FA">
            <w:pPr>
              <w:widowControl w:val="0"/>
              <w:spacing w:before="100" w:beforeAutospacing="1" w:after="100" w:afterAutospacing="1" w:line="360" w:lineRule="auto"/>
              <w:rPr>
                <w:rFonts w:asciiTheme="majorBidi" w:eastAsia="Times New Roman" w:hAnsiTheme="majorBidi" w:cstheme="majorBidi"/>
                <w:b/>
                <w:sz w:val="20"/>
                <w:szCs w:val="20"/>
              </w:rPr>
            </w:pPr>
          </w:p>
        </w:tc>
        <w:tc>
          <w:tcPr>
            <w:tcW w:w="1710" w:type="dxa"/>
            <w:tcBorders>
              <w:bottom w:val="single" w:sz="4" w:space="0" w:color="auto"/>
            </w:tcBorders>
          </w:tcPr>
          <w:p w:rsidR="00E368FA" w:rsidRPr="00CF5DDA" w:rsidRDefault="00E368FA" w:rsidP="00CF5DDA">
            <w:pPr>
              <w:widowControl w:val="0"/>
              <w:spacing w:before="100" w:beforeAutospacing="1" w:after="100" w:afterAutospacing="1" w:line="360" w:lineRule="auto"/>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N=28</w:t>
            </w:r>
          </w:p>
        </w:tc>
        <w:tc>
          <w:tcPr>
            <w:tcW w:w="1394" w:type="dxa"/>
            <w:tcBorders>
              <w:bottom w:val="single" w:sz="4" w:space="0" w:color="auto"/>
            </w:tcBorders>
          </w:tcPr>
          <w:p w:rsidR="00E368FA" w:rsidRPr="00CF5DDA" w:rsidRDefault="00CF5DDA" w:rsidP="00CF5DDA">
            <w:pPr>
              <w:widowControl w:val="0"/>
              <w:spacing w:before="100" w:beforeAutospacing="1" w:after="100" w:afterAutospacing="1" w:line="360" w:lineRule="auto"/>
              <w:rPr>
                <w:rFonts w:asciiTheme="majorBidi" w:eastAsia="Times New Roman" w:hAnsiTheme="majorBidi" w:cstheme="majorBidi"/>
                <w:b/>
                <w:sz w:val="20"/>
                <w:szCs w:val="20"/>
              </w:rPr>
            </w:pPr>
            <w:r w:rsidRPr="00CF5DDA">
              <w:rPr>
                <w:rFonts w:asciiTheme="majorBidi" w:eastAsia="Times New Roman" w:hAnsiTheme="majorBidi" w:cstheme="majorBidi"/>
                <w:b/>
                <w:sz w:val="20"/>
                <w:szCs w:val="20"/>
              </w:rPr>
              <w:t xml:space="preserve">       </w:t>
            </w:r>
            <w:r w:rsidR="00E368FA" w:rsidRPr="00CF5DDA">
              <w:rPr>
                <w:rFonts w:asciiTheme="majorBidi" w:eastAsia="Times New Roman" w:hAnsiTheme="majorBidi" w:cstheme="majorBidi"/>
                <w:b/>
                <w:sz w:val="20"/>
                <w:szCs w:val="20"/>
              </w:rPr>
              <w:t>N=12</w:t>
            </w:r>
          </w:p>
        </w:tc>
        <w:tc>
          <w:tcPr>
            <w:tcW w:w="1450" w:type="dxa"/>
            <w:tcBorders>
              <w:bottom w:val="single" w:sz="4" w:space="0" w:color="auto"/>
            </w:tcBorders>
          </w:tcPr>
          <w:p w:rsidR="00E368FA" w:rsidRPr="00CF5DDA" w:rsidRDefault="00E368FA" w:rsidP="00E368FA">
            <w:pPr>
              <w:widowControl w:val="0"/>
              <w:spacing w:before="100" w:beforeAutospacing="1" w:after="100" w:afterAutospacing="1" w:line="360" w:lineRule="auto"/>
              <w:rPr>
                <w:rFonts w:asciiTheme="majorBidi" w:eastAsia="Times New Roman" w:hAnsiTheme="majorBidi" w:cstheme="majorBidi"/>
                <w:b/>
                <w:sz w:val="20"/>
                <w:szCs w:val="20"/>
              </w:rPr>
            </w:pPr>
          </w:p>
        </w:tc>
      </w:tr>
      <w:tr w:rsidR="00E368FA" w:rsidRPr="00E368FA" w:rsidTr="00CF5DDA">
        <w:trPr>
          <w:trHeight w:val="377"/>
          <w:jc w:val="center"/>
        </w:trPr>
        <w:tc>
          <w:tcPr>
            <w:tcW w:w="2637" w:type="dxa"/>
            <w:gridSpan w:val="2"/>
            <w:tcBorders>
              <w:bottom w:val="single" w:sz="4" w:space="0" w:color="auto"/>
            </w:tcBorders>
            <w:vAlign w:val="bottom"/>
          </w:tcPr>
          <w:p w:rsidR="00E368FA" w:rsidRPr="00E368FA" w:rsidRDefault="00E368FA" w:rsidP="00CF5DDA">
            <w:pPr>
              <w:widowControl w:val="0"/>
              <w:spacing w:before="100" w:beforeAutospacing="1" w:after="100" w:afterAutospacing="1"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mRNA p53</w:t>
            </w:r>
          </w:p>
        </w:tc>
        <w:tc>
          <w:tcPr>
            <w:tcW w:w="2160" w:type="dxa"/>
            <w:gridSpan w:val="2"/>
            <w:tcBorders>
              <w:bottom w:val="single" w:sz="4" w:space="0" w:color="auto"/>
            </w:tcBorders>
            <w:vAlign w:val="bottom"/>
          </w:tcPr>
          <w:p w:rsidR="00E368FA" w:rsidRPr="00E368FA" w:rsidRDefault="00CF5DDA" w:rsidP="00CF5DDA">
            <w:pPr>
              <w:widowControl w:val="0"/>
              <w:spacing w:before="100" w:beforeAutospacing="1" w:after="100" w:afterAutospacing="1" w:line="360" w:lineRule="auto"/>
              <w:rPr>
                <w:rFonts w:asciiTheme="majorBidi" w:eastAsia="Times New Roman" w:hAnsiTheme="majorBidi" w:cstheme="majorBidi"/>
                <w:sz w:val="20"/>
                <w:szCs w:val="20"/>
              </w:rPr>
            </w:pPr>
            <w:r w:rsidRPr="00CF5DDA">
              <w:rPr>
                <w:rFonts w:ascii="Times New Roman" w:hAnsi="Times New Roman"/>
                <w:sz w:val="20"/>
                <w:szCs w:val="20"/>
              </w:rPr>
              <w:t>243.52 ± 490.52</w:t>
            </w:r>
          </w:p>
        </w:tc>
        <w:tc>
          <w:tcPr>
            <w:tcW w:w="1394" w:type="dxa"/>
            <w:tcBorders>
              <w:bottom w:val="single" w:sz="4" w:space="0" w:color="auto"/>
            </w:tcBorders>
            <w:vAlign w:val="bottom"/>
          </w:tcPr>
          <w:p w:rsidR="00E368FA" w:rsidRPr="00E368FA" w:rsidRDefault="00CF5DDA" w:rsidP="00CF5DDA">
            <w:pPr>
              <w:widowControl w:val="0"/>
              <w:spacing w:before="100" w:beforeAutospacing="1" w:after="100" w:afterAutospacing="1" w:line="360" w:lineRule="auto"/>
              <w:rPr>
                <w:rFonts w:asciiTheme="majorBidi" w:eastAsia="Times New Roman" w:hAnsiTheme="majorBidi" w:cstheme="majorBidi"/>
                <w:sz w:val="20"/>
                <w:szCs w:val="20"/>
              </w:rPr>
            </w:pPr>
            <w:r w:rsidRPr="00CF5DDA">
              <w:rPr>
                <w:rFonts w:ascii="Times New Roman" w:hAnsi="Times New Roman"/>
                <w:sz w:val="20"/>
                <w:szCs w:val="20"/>
              </w:rPr>
              <w:t>20.47 ± 24.08</w:t>
            </w:r>
          </w:p>
        </w:tc>
        <w:tc>
          <w:tcPr>
            <w:tcW w:w="1450" w:type="dxa"/>
            <w:tcBorders>
              <w:bottom w:val="single" w:sz="4" w:space="0" w:color="auto"/>
            </w:tcBorders>
            <w:vAlign w:val="bottom"/>
          </w:tcPr>
          <w:p w:rsidR="00E368FA" w:rsidRPr="00E368FA" w:rsidRDefault="00CF5DDA" w:rsidP="00CF5DDA">
            <w:pPr>
              <w:widowControl w:val="0"/>
              <w:spacing w:before="100" w:beforeAutospacing="1" w:after="100" w:afterAutospacing="1"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&lt;0.001*</w:t>
            </w:r>
          </w:p>
        </w:tc>
      </w:tr>
    </w:tbl>
    <w:p w:rsidR="00076AFE" w:rsidRDefault="00076AFE" w:rsidP="00CF5DDA">
      <w:pPr>
        <w:pStyle w:val="Els-body-text"/>
        <w:widowControl w:val="0"/>
        <w:spacing w:before="100" w:beforeAutospacing="1" w:after="100" w:afterAutospacing="1" w:line="360" w:lineRule="auto"/>
        <w:ind w:firstLine="0"/>
        <w:rPr>
          <w:rFonts w:asciiTheme="majorBidi" w:hAnsiTheme="majorBidi" w:cstheme="majorBidi"/>
          <w:bCs/>
        </w:rPr>
      </w:pPr>
    </w:p>
    <w:p w:rsidR="00076AFE" w:rsidRDefault="00076AFE" w:rsidP="00076AFE">
      <w:pPr>
        <w:pStyle w:val="Els-Author"/>
        <w:rPr>
          <w:sz w:val="20"/>
        </w:rPr>
      </w:pPr>
      <w:r>
        <w:br w:type="page"/>
      </w:r>
    </w:p>
    <w:p w:rsidR="00CF5DDA" w:rsidRDefault="00CF5DDA" w:rsidP="00CF5DDA">
      <w:pPr>
        <w:pStyle w:val="Els-body-text"/>
        <w:widowControl w:val="0"/>
        <w:spacing w:before="100" w:beforeAutospacing="1" w:after="100" w:afterAutospacing="1" w:line="360" w:lineRule="auto"/>
        <w:ind w:firstLine="0"/>
      </w:pPr>
      <w:r w:rsidRPr="009F01D0">
        <w:rPr>
          <w:rFonts w:asciiTheme="majorBidi" w:hAnsiTheme="majorBidi" w:cstheme="majorBidi"/>
          <w:bCs/>
        </w:rPr>
        <w:lastRenderedPageBreak/>
        <w:t>Multivariat</w:t>
      </w:r>
      <w:r w:rsidR="00076AFE">
        <w:rPr>
          <w:rFonts w:asciiTheme="majorBidi" w:hAnsiTheme="majorBidi" w:cstheme="majorBidi"/>
          <w:bCs/>
        </w:rPr>
        <w:t>e</w:t>
      </w:r>
      <w:r w:rsidRPr="009F01D0">
        <w:rPr>
          <w:rFonts w:asciiTheme="majorBidi" w:hAnsiTheme="majorBidi" w:cstheme="majorBidi"/>
          <w:bCs/>
        </w:rPr>
        <w:t xml:space="preserve"> analysis mRNA Bcl-2 and mRNAP53 result only P53 has significant </w:t>
      </w:r>
      <w:r w:rsidR="00076AFE" w:rsidRPr="009F01D0">
        <w:rPr>
          <w:rFonts w:asciiTheme="majorBidi" w:hAnsiTheme="majorBidi" w:cstheme="majorBidi"/>
          <w:bCs/>
        </w:rPr>
        <w:t>cor</w:t>
      </w:r>
      <w:r w:rsidR="00076AFE">
        <w:rPr>
          <w:rFonts w:asciiTheme="majorBidi" w:hAnsiTheme="majorBidi" w:cstheme="majorBidi"/>
          <w:bCs/>
        </w:rPr>
        <w:t>r</w:t>
      </w:r>
      <w:r w:rsidR="00076AFE" w:rsidRPr="009F01D0">
        <w:rPr>
          <w:rFonts w:asciiTheme="majorBidi" w:hAnsiTheme="majorBidi" w:cstheme="majorBidi"/>
          <w:bCs/>
        </w:rPr>
        <w:t>el</w:t>
      </w:r>
      <w:r w:rsidR="00076AFE">
        <w:rPr>
          <w:rFonts w:asciiTheme="majorBidi" w:hAnsiTheme="majorBidi" w:cstheme="majorBidi"/>
          <w:bCs/>
        </w:rPr>
        <w:t>ation</w:t>
      </w:r>
      <w:r>
        <w:rPr>
          <w:rFonts w:asciiTheme="majorBidi" w:hAnsiTheme="majorBidi" w:cstheme="majorBidi"/>
          <w:bCs/>
        </w:rPr>
        <w:t xml:space="preserve"> to Gleason score (p value &lt;</w:t>
      </w:r>
      <w:r w:rsidR="00076AFE">
        <w:rPr>
          <w:rFonts w:asciiTheme="majorBidi" w:hAnsiTheme="majorBidi" w:cstheme="majorBidi"/>
          <w:bCs/>
        </w:rPr>
        <w:t xml:space="preserve"> 0,014)</w:t>
      </w:r>
      <w:r>
        <w:rPr>
          <w:rFonts w:asciiTheme="majorBidi" w:hAnsiTheme="majorBidi" w:cstheme="majorBidi"/>
          <w:bCs/>
        </w:rPr>
        <w:t>.</w:t>
      </w:r>
      <w:r w:rsidRPr="009F01D0">
        <w:t xml:space="preserve"> </w:t>
      </w:r>
    </w:p>
    <w:p w:rsidR="00CF5DDA" w:rsidRDefault="00076AFE" w:rsidP="00CF5DDA">
      <w:pPr>
        <w:widowControl w:val="0"/>
        <w:spacing w:before="100" w:beforeAutospacing="1" w:after="100" w:afterAutospacing="1" w:line="360" w:lineRule="auto"/>
        <w:jc w:val="center"/>
        <w:rPr>
          <w:rFonts w:asciiTheme="majorBidi" w:eastAsia="Times New Roman" w:hAnsiTheme="majorBidi" w:cstheme="majorBidi"/>
          <w:sz w:val="20"/>
          <w:szCs w:val="20"/>
        </w:rPr>
      </w:pPr>
      <w:r>
        <w:rPr>
          <w:rFonts w:asciiTheme="majorBidi" w:eastAsia="Times New Roman" w:hAnsiTheme="majorBidi" w:cstheme="majorBidi"/>
          <w:b/>
          <w:bCs/>
          <w:sz w:val="20"/>
          <w:szCs w:val="20"/>
        </w:rPr>
        <w:t>Table 4</w:t>
      </w:r>
      <w:r w:rsidR="00CF5DDA" w:rsidRPr="00CF5DDA">
        <w:rPr>
          <w:rFonts w:asciiTheme="majorBidi" w:eastAsia="Times New Roman" w:hAnsiTheme="majorBidi" w:cstheme="majorBidi"/>
          <w:b/>
          <w:bCs/>
          <w:sz w:val="20"/>
          <w:szCs w:val="20"/>
        </w:rPr>
        <w:t>:</w:t>
      </w:r>
      <w:r w:rsidR="00CF5DDA" w:rsidRPr="00CF5DDA">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Multi</w:t>
      </w:r>
      <w:r w:rsidRPr="00076AFE">
        <w:rPr>
          <w:rFonts w:asciiTheme="majorBidi" w:eastAsia="Times New Roman" w:hAnsiTheme="majorBidi" w:cstheme="majorBidi"/>
          <w:sz w:val="20"/>
          <w:szCs w:val="20"/>
        </w:rPr>
        <w:t>variate</w:t>
      </w:r>
      <w:r>
        <w:rPr>
          <w:rFonts w:asciiTheme="majorBidi" w:eastAsia="Times New Roman" w:hAnsiTheme="majorBidi" w:cstheme="majorBidi"/>
          <w:sz w:val="20"/>
          <w:szCs w:val="20"/>
        </w:rPr>
        <w:t xml:space="preserve"> analysis</w:t>
      </w:r>
      <w:r w:rsidRPr="00076AFE">
        <w:rPr>
          <w:rFonts w:asciiTheme="majorBidi" w:eastAsia="Times New Roman" w:hAnsiTheme="majorBidi" w:cstheme="majorBidi"/>
          <w:sz w:val="20"/>
          <w:szCs w:val="20"/>
        </w:rPr>
        <w:t xml:space="preserve"> mRNA P53, Bcl-2 and Gleason score</w:t>
      </w:r>
    </w:p>
    <w:tbl>
      <w:tblPr>
        <w:tblW w:w="9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10"/>
        <w:gridCol w:w="1387"/>
        <w:gridCol w:w="860"/>
        <w:gridCol w:w="780"/>
        <w:gridCol w:w="780"/>
        <w:gridCol w:w="371"/>
        <w:gridCol w:w="780"/>
        <w:gridCol w:w="937"/>
        <w:gridCol w:w="1341"/>
        <w:gridCol w:w="1274"/>
      </w:tblGrid>
      <w:tr w:rsidR="003D5C58" w:rsidRPr="00E32430" w:rsidTr="003D5C58">
        <w:trPr>
          <w:cantSplit/>
        </w:trPr>
        <w:tc>
          <w:tcPr>
            <w:tcW w:w="2297" w:type="dxa"/>
            <w:gridSpan w:val="2"/>
            <w:vMerge w:val="restart"/>
            <w:tcBorders>
              <w:top w:val="single" w:sz="4" w:space="0" w:color="auto"/>
              <w:left w:val="nil"/>
              <w:bottom w:val="nil"/>
              <w:right w:val="nil"/>
            </w:tcBorders>
            <w:shd w:val="clear" w:color="auto" w:fill="FFFFFF"/>
          </w:tcPr>
          <w:p w:rsidR="003D5C58" w:rsidRPr="003D5C58" w:rsidRDefault="003D5C58" w:rsidP="00FA3D7E">
            <w:pPr>
              <w:spacing w:after="160" w:line="259" w:lineRule="auto"/>
              <w:rPr>
                <w:rFonts w:ascii="Times New Roman" w:hAnsi="Times New Roman" w:cs="Times New Roman"/>
                <w:sz w:val="20"/>
                <w:szCs w:val="20"/>
              </w:rPr>
            </w:pPr>
          </w:p>
        </w:tc>
        <w:tc>
          <w:tcPr>
            <w:tcW w:w="860" w:type="dxa"/>
            <w:vMerge w:val="restart"/>
            <w:tcBorders>
              <w:top w:val="single" w:sz="4" w:space="0" w:color="auto"/>
              <w:left w:val="nil"/>
              <w:bottom w:val="nil"/>
              <w:right w:val="nil"/>
            </w:tcBorders>
            <w:shd w:val="clear" w:color="auto" w:fill="FFFFFF"/>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B</w:t>
            </w:r>
          </w:p>
        </w:tc>
        <w:tc>
          <w:tcPr>
            <w:tcW w:w="780" w:type="dxa"/>
            <w:vMerge w:val="restart"/>
            <w:tcBorders>
              <w:top w:val="single" w:sz="4" w:space="0" w:color="auto"/>
              <w:left w:val="nil"/>
              <w:bottom w:val="nil"/>
              <w:right w:val="nil"/>
            </w:tcBorders>
            <w:shd w:val="clear" w:color="auto" w:fill="FFFFFF"/>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S.E.</w:t>
            </w:r>
          </w:p>
        </w:tc>
        <w:tc>
          <w:tcPr>
            <w:tcW w:w="780" w:type="dxa"/>
            <w:vMerge w:val="restart"/>
            <w:tcBorders>
              <w:top w:val="single" w:sz="4" w:space="0" w:color="auto"/>
              <w:left w:val="nil"/>
              <w:bottom w:val="nil"/>
              <w:right w:val="nil"/>
            </w:tcBorders>
            <w:shd w:val="clear" w:color="auto" w:fill="FFFFFF"/>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Wald</w:t>
            </w:r>
          </w:p>
        </w:tc>
        <w:tc>
          <w:tcPr>
            <w:tcW w:w="371" w:type="dxa"/>
            <w:vMerge w:val="restart"/>
            <w:tcBorders>
              <w:top w:val="single" w:sz="4" w:space="0" w:color="auto"/>
              <w:left w:val="nil"/>
              <w:bottom w:val="nil"/>
              <w:right w:val="nil"/>
            </w:tcBorders>
            <w:shd w:val="clear" w:color="auto" w:fill="FFFFFF"/>
          </w:tcPr>
          <w:p w:rsidR="003D5C58" w:rsidRPr="003D5C58" w:rsidRDefault="003D5C58" w:rsidP="00076AFE">
            <w:pPr>
              <w:spacing w:line="320" w:lineRule="atLeast"/>
              <w:ind w:left="60" w:right="60"/>
              <w:jc w:val="center"/>
              <w:rPr>
                <w:rFonts w:ascii="Times New Roman" w:hAnsi="Times New Roman" w:cs="Times New Roman"/>
                <w:sz w:val="20"/>
                <w:szCs w:val="20"/>
              </w:rPr>
            </w:pPr>
            <w:proofErr w:type="spellStart"/>
            <w:r w:rsidRPr="003D5C58">
              <w:rPr>
                <w:rFonts w:ascii="Times New Roman" w:hAnsi="Times New Roman" w:cs="Times New Roman"/>
                <w:sz w:val="20"/>
                <w:szCs w:val="20"/>
              </w:rPr>
              <w:t>df</w:t>
            </w:r>
            <w:proofErr w:type="spellEnd"/>
          </w:p>
        </w:tc>
        <w:tc>
          <w:tcPr>
            <w:tcW w:w="780" w:type="dxa"/>
            <w:vMerge w:val="restart"/>
            <w:tcBorders>
              <w:top w:val="single" w:sz="4" w:space="0" w:color="auto"/>
              <w:left w:val="nil"/>
              <w:bottom w:val="nil"/>
              <w:right w:val="nil"/>
            </w:tcBorders>
            <w:shd w:val="clear" w:color="auto" w:fill="FFFFFF"/>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Sig.</w:t>
            </w:r>
          </w:p>
        </w:tc>
        <w:tc>
          <w:tcPr>
            <w:tcW w:w="937" w:type="dxa"/>
            <w:vMerge w:val="restart"/>
            <w:tcBorders>
              <w:top w:val="single" w:sz="4" w:space="0" w:color="auto"/>
              <w:left w:val="nil"/>
              <w:bottom w:val="nil"/>
              <w:right w:val="nil"/>
            </w:tcBorders>
            <w:shd w:val="clear" w:color="auto" w:fill="FFFFFF"/>
          </w:tcPr>
          <w:p w:rsidR="003D5C58" w:rsidRPr="003D5C58" w:rsidRDefault="00076AFE" w:rsidP="00FA3D7E">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3D5C58" w:rsidRPr="003D5C58">
              <w:rPr>
                <w:rFonts w:ascii="Times New Roman" w:hAnsi="Times New Roman" w:cs="Times New Roman"/>
                <w:sz w:val="20"/>
                <w:szCs w:val="20"/>
              </w:rPr>
              <w:t>Exp</w:t>
            </w:r>
            <w:proofErr w:type="spellEnd"/>
            <w:r w:rsidR="003D5C58" w:rsidRPr="003D5C58">
              <w:rPr>
                <w:rFonts w:ascii="Times New Roman" w:hAnsi="Times New Roman" w:cs="Times New Roman"/>
                <w:sz w:val="20"/>
                <w:szCs w:val="20"/>
              </w:rPr>
              <w:t>(B)</w:t>
            </w:r>
          </w:p>
        </w:tc>
        <w:tc>
          <w:tcPr>
            <w:tcW w:w="2615" w:type="dxa"/>
            <w:gridSpan w:val="2"/>
            <w:tcBorders>
              <w:top w:val="single" w:sz="4" w:space="0" w:color="auto"/>
              <w:left w:val="nil"/>
              <w:bottom w:val="nil"/>
              <w:right w:val="nil"/>
            </w:tcBorders>
            <w:shd w:val="clear" w:color="auto" w:fill="FFFFFF"/>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 xml:space="preserve">95% </w:t>
            </w:r>
            <w:proofErr w:type="spellStart"/>
            <w:r w:rsidRPr="003D5C58">
              <w:rPr>
                <w:rFonts w:ascii="Times New Roman" w:hAnsi="Times New Roman" w:cs="Times New Roman"/>
                <w:sz w:val="20"/>
                <w:szCs w:val="20"/>
              </w:rPr>
              <w:t>C.I.for</w:t>
            </w:r>
            <w:proofErr w:type="spellEnd"/>
            <w:r w:rsidRPr="003D5C58">
              <w:rPr>
                <w:rFonts w:ascii="Times New Roman" w:hAnsi="Times New Roman" w:cs="Times New Roman"/>
                <w:sz w:val="20"/>
                <w:szCs w:val="20"/>
              </w:rPr>
              <w:t xml:space="preserve"> EXP(B)</w:t>
            </w:r>
          </w:p>
        </w:tc>
      </w:tr>
      <w:tr w:rsidR="003D5C58" w:rsidRPr="00E32430" w:rsidTr="003D5C58">
        <w:trPr>
          <w:cantSplit/>
        </w:trPr>
        <w:tc>
          <w:tcPr>
            <w:tcW w:w="2297" w:type="dxa"/>
            <w:gridSpan w:val="2"/>
            <w:vMerge/>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860" w:type="dxa"/>
            <w:vMerge/>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780" w:type="dxa"/>
            <w:vMerge/>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780" w:type="dxa"/>
            <w:vMerge/>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371" w:type="dxa"/>
            <w:vMerge/>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780" w:type="dxa"/>
            <w:vMerge/>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937" w:type="dxa"/>
            <w:vMerge/>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1341" w:type="dxa"/>
            <w:tcBorders>
              <w:top w:val="nil"/>
              <w:left w:val="nil"/>
              <w:bottom w:val="single" w:sz="4" w:space="0" w:color="auto"/>
              <w:right w:val="nil"/>
            </w:tcBorders>
            <w:shd w:val="clear" w:color="auto" w:fill="FFFFFF"/>
          </w:tcPr>
          <w:p w:rsidR="003D5C58" w:rsidRPr="003D5C58" w:rsidRDefault="00076AFE" w:rsidP="00076AFE">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Lower</w:t>
            </w:r>
          </w:p>
        </w:tc>
        <w:tc>
          <w:tcPr>
            <w:tcW w:w="1274" w:type="dxa"/>
            <w:tcBorders>
              <w:top w:val="nil"/>
              <w:left w:val="nil"/>
              <w:bottom w:val="single" w:sz="4" w:space="0" w:color="auto"/>
              <w:right w:val="nil"/>
            </w:tcBorders>
            <w:shd w:val="clear" w:color="auto" w:fill="FFFFFF"/>
          </w:tcPr>
          <w:p w:rsidR="003D5C58" w:rsidRPr="003D5C58" w:rsidRDefault="00076AFE" w:rsidP="00076AFE">
            <w:pPr>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Upper</w:t>
            </w:r>
          </w:p>
        </w:tc>
      </w:tr>
      <w:tr w:rsidR="003D5C58" w:rsidRPr="00E32430" w:rsidTr="003D5C58">
        <w:trPr>
          <w:cantSplit/>
          <w:trHeight w:val="35"/>
        </w:trPr>
        <w:tc>
          <w:tcPr>
            <w:tcW w:w="910" w:type="dxa"/>
            <w:vMerge w:val="restart"/>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Step 1</w:t>
            </w:r>
            <w:r w:rsidRPr="003D5C58">
              <w:rPr>
                <w:rFonts w:ascii="Times New Roman" w:hAnsi="Times New Roman" w:cs="Times New Roman"/>
                <w:sz w:val="20"/>
                <w:szCs w:val="20"/>
                <w:vertAlign w:val="superscript"/>
              </w:rPr>
              <w:t>a</w:t>
            </w:r>
          </w:p>
        </w:tc>
        <w:tc>
          <w:tcPr>
            <w:tcW w:w="1387" w:type="dxa"/>
            <w:tcBorders>
              <w:top w:val="single" w:sz="4" w:space="0" w:color="auto"/>
              <w:left w:val="nil"/>
              <w:bottom w:val="nil"/>
              <w:right w:val="nil"/>
            </w:tcBorders>
            <w:shd w:val="clear" w:color="auto" w:fill="FFFFFF"/>
            <w:vAlign w:val="center"/>
          </w:tcPr>
          <w:p w:rsidR="003D5C58" w:rsidRPr="003D5C58" w:rsidRDefault="00076AFE" w:rsidP="00FA3D7E">
            <w:pPr>
              <w:spacing w:line="320" w:lineRule="atLeast"/>
              <w:ind w:left="60" w:right="60"/>
              <w:rPr>
                <w:rFonts w:ascii="Times New Roman" w:hAnsi="Times New Roman" w:cs="Times New Roman"/>
                <w:sz w:val="20"/>
                <w:szCs w:val="20"/>
              </w:rPr>
            </w:pPr>
            <w:r>
              <w:rPr>
                <w:rFonts w:ascii="Times New Roman" w:hAnsi="Times New Roman" w:cs="Times New Roman"/>
                <w:sz w:val="20"/>
                <w:szCs w:val="20"/>
              </w:rPr>
              <w:t>Age</w:t>
            </w:r>
          </w:p>
        </w:tc>
        <w:tc>
          <w:tcPr>
            <w:tcW w:w="86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-0.017</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0.088</w:t>
            </w:r>
          </w:p>
        </w:tc>
        <w:tc>
          <w:tcPr>
            <w:tcW w:w="780" w:type="dxa"/>
            <w:tcBorders>
              <w:top w:val="single" w:sz="4" w:space="0" w:color="auto"/>
              <w:left w:val="nil"/>
              <w:bottom w:val="nil"/>
              <w:right w:val="nil"/>
            </w:tcBorders>
            <w:shd w:val="clear" w:color="auto" w:fill="auto"/>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0.037</w:t>
            </w:r>
          </w:p>
        </w:tc>
        <w:tc>
          <w:tcPr>
            <w:tcW w:w="371"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0.847</w:t>
            </w:r>
          </w:p>
        </w:tc>
        <w:tc>
          <w:tcPr>
            <w:tcW w:w="937"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0.983</w:t>
            </w:r>
          </w:p>
        </w:tc>
        <w:tc>
          <w:tcPr>
            <w:tcW w:w="1341"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0.828</w:t>
            </w:r>
          </w:p>
        </w:tc>
        <w:tc>
          <w:tcPr>
            <w:tcW w:w="1274"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1.167</w:t>
            </w:r>
          </w:p>
        </w:tc>
      </w:tr>
      <w:tr w:rsidR="003D5C58" w:rsidRPr="00E32430" w:rsidTr="003D5C58">
        <w:trPr>
          <w:cantSplit/>
        </w:trPr>
        <w:tc>
          <w:tcPr>
            <w:tcW w:w="910" w:type="dxa"/>
            <w:vMerge/>
            <w:tcBorders>
              <w:top w:val="nil"/>
              <w:left w:val="nil"/>
              <w:bottom w:val="nil"/>
              <w:right w:val="nil"/>
            </w:tcBorders>
            <w:shd w:val="clear" w:color="auto" w:fill="FFFFFF"/>
            <w:vAlign w:val="center"/>
          </w:tcPr>
          <w:p w:rsidR="003D5C58" w:rsidRPr="003D5C58" w:rsidRDefault="003D5C58" w:rsidP="00FA3D7E">
            <w:pPr>
              <w:rPr>
                <w:rFonts w:ascii="Times New Roman" w:hAnsi="Times New Roman" w:cs="Times New Roman"/>
                <w:sz w:val="20"/>
                <w:szCs w:val="20"/>
              </w:rPr>
            </w:pPr>
          </w:p>
        </w:tc>
        <w:tc>
          <w:tcPr>
            <w:tcW w:w="1387" w:type="dxa"/>
            <w:tcBorders>
              <w:top w:val="nil"/>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mRNAp53</w:t>
            </w:r>
          </w:p>
        </w:tc>
        <w:tc>
          <w:tcPr>
            <w:tcW w:w="86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-0.038</w:t>
            </w:r>
          </w:p>
        </w:tc>
        <w:tc>
          <w:tcPr>
            <w:tcW w:w="78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0.018</w:t>
            </w:r>
          </w:p>
        </w:tc>
        <w:tc>
          <w:tcPr>
            <w:tcW w:w="780" w:type="dxa"/>
            <w:tcBorders>
              <w:top w:val="nil"/>
              <w:left w:val="nil"/>
              <w:bottom w:val="nil"/>
              <w:right w:val="nil"/>
            </w:tcBorders>
            <w:shd w:val="clear" w:color="auto" w:fill="auto"/>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4.214</w:t>
            </w:r>
          </w:p>
        </w:tc>
        <w:tc>
          <w:tcPr>
            <w:tcW w:w="371"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0.040</w:t>
            </w:r>
          </w:p>
        </w:tc>
        <w:tc>
          <w:tcPr>
            <w:tcW w:w="937"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0.963</w:t>
            </w:r>
          </w:p>
        </w:tc>
        <w:tc>
          <w:tcPr>
            <w:tcW w:w="1341"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0.929</w:t>
            </w:r>
          </w:p>
        </w:tc>
        <w:tc>
          <w:tcPr>
            <w:tcW w:w="1274"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0.998</w:t>
            </w:r>
          </w:p>
        </w:tc>
      </w:tr>
      <w:tr w:rsidR="003D5C58" w:rsidRPr="00E32430" w:rsidTr="003D5C58">
        <w:trPr>
          <w:cantSplit/>
        </w:trPr>
        <w:tc>
          <w:tcPr>
            <w:tcW w:w="910" w:type="dxa"/>
            <w:vMerge/>
            <w:tcBorders>
              <w:top w:val="nil"/>
              <w:left w:val="nil"/>
              <w:bottom w:val="nil"/>
              <w:right w:val="nil"/>
            </w:tcBorders>
            <w:shd w:val="clear" w:color="auto" w:fill="FFFFFF"/>
            <w:vAlign w:val="center"/>
          </w:tcPr>
          <w:p w:rsidR="003D5C58" w:rsidRPr="003D5C58" w:rsidRDefault="003D5C58" w:rsidP="00FA3D7E">
            <w:pPr>
              <w:rPr>
                <w:rFonts w:ascii="Times New Roman" w:hAnsi="Times New Roman" w:cs="Times New Roman"/>
                <w:sz w:val="20"/>
                <w:szCs w:val="20"/>
              </w:rPr>
            </w:pPr>
          </w:p>
        </w:tc>
        <w:tc>
          <w:tcPr>
            <w:tcW w:w="1387" w:type="dxa"/>
            <w:tcBorders>
              <w:top w:val="nil"/>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mRNABcl2</w:t>
            </w:r>
          </w:p>
        </w:tc>
        <w:tc>
          <w:tcPr>
            <w:tcW w:w="86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-0.007</w:t>
            </w:r>
          </w:p>
        </w:tc>
        <w:tc>
          <w:tcPr>
            <w:tcW w:w="78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0.008</w:t>
            </w:r>
          </w:p>
        </w:tc>
        <w:tc>
          <w:tcPr>
            <w:tcW w:w="780" w:type="dxa"/>
            <w:tcBorders>
              <w:top w:val="nil"/>
              <w:left w:val="nil"/>
              <w:bottom w:val="nil"/>
              <w:right w:val="nil"/>
            </w:tcBorders>
            <w:shd w:val="clear" w:color="auto" w:fill="auto"/>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0.836</w:t>
            </w:r>
          </w:p>
        </w:tc>
        <w:tc>
          <w:tcPr>
            <w:tcW w:w="371"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0.361</w:t>
            </w:r>
          </w:p>
        </w:tc>
        <w:tc>
          <w:tcPr>
            <w:tcW w:w="937"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0.993</w:t>
            </w:r>
          </w:p>
        </w:tc>
        <w:tc>
          <w:tcPr>
            <w:tcW w:w="1341"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0.977</w:t>
            </w:r>
          </w:p>
        </w:tc>
        <w:tc>
          <w:tcPr>
            <w:tcW w:w="1274"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1.008</w:t>
            </w:r>
          </w:p>
        </w:tc>
      </w:tr>
      <w:tr w:rsidR="003D5C58" w:rsidRPr="00E32430" w:rsidTr="003D5C58">
        <w:trPr>
          <w:cantSplit/>
        </w:trPr>
        <w:tc>
          <w:tcPr>
            <w:tcW w:w="910" w:type="dxa"/>
            <w:vMerge/>
            <w:tcBorders>
              <w:top w:val="nil"/>
              <w:left w:val="nil"/>
              <w:bottom w:val="single" w:sz="4" w:space="0" w:color="auto"/>
              <w:right w:val="nil"/>
            </w:tcBorders>
            <w:shd w:val="clear" w:color="auto" w:fill="FFFFFF"/>
            <w:vAlign w:val="center"/>
          </w:tcPr>
          <w:p w:rsidR="003D5C58" w:rsidRPr="003D5C58" w:rsidRDefault="003D5C58" w:rsidP="00FA3D7E">
            <w:pPr>
              <w:rPr>
                <w:rFonts w:ascii="Times New Roman" w:hAnsi="Times New Roman" w:cs="Times New Roman"/>
                <w:sz w:val="20"/>
                <w:szCs w:val="20"/>
              </w:rPr>
            </w:pPr>
          </w:p>
        </w:tc>
        <w:tc>
          <w:tcPr>
            <w:tcW w:w="1387" w:type="dxa"/>
            <w:tcBorders>
              <w:top w:val="nil"/>
              <w:left w:val="nil"/>
              <w:bottom w:val="single" w:sz="4" w:space="0" w:color="auto"/>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Constant</w:t>
            </w:r>
          </w:p>
        </w:tc>
        <w:tc>
          <w:tcPr>
            <w:tcW w:w="86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2.454</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5.970</w:t>
            </w:r>
          </w:p>
        </w:tc>
        <w:tc>
          <w:tcPr>
            <w:tcW w:w="780" w:type="dxa"/>
            <w:tcBorders>
              <w:top w:val="nil"/>
              <w:left w:val="nil"/>
              <w:bottom w:val="single" w:sz="4" w:space="0" w:color="auto"/>
              <w:right w:val="nil"/>
            </w:tcBorders>
            <w:shd w:val="clear" w:color="auto" w:fill="auto"/>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0.169</w:t>
            </w:r>
          </w:p>
        </w:tc>
        <w:tc>
          <w:tcPr>
            <w:tcW w:w="371"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0.681</w:t>
            </w:r>
          </w:p>
        </w:tc>
        <w:tc>
          <w:tcPr>
            <w:tcW w:w="937"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11.631</w:t>
            </w:r>
          </w:p>
        </w:tc>
        <w:tc>
          <w:tcPr>
            <w:tcW w:w="1341" w:type="dxa"/>
            <w:tcBorders>
              <w:top w:val="nil"/>
              <w:left w:val="nil"/>
              <w:bottom w:val="single" w:sz="4" w:space="0" w:color="auto"/>
              <w:right w:val="nil"/>
            </w:tcBorders>
            <w:shd w:val="clear" w:color="auto" w:fill="FFFFFF"/>
          </w:tcPr>
          <w:p w:rsidR="003D5C58" w:rsidRPr="003D5C58" w:rsidRDefault="003D5C58" w:rsidP="00076AFE">
            <w:pPr>
              <w:jc w:val="center"/>
              <w:rPr>
                <w:rFonts w:ascii="Times New Roman" w:hAnsi="Times New Roman" w:cs="Times New Roman"/>
                <w:sz w:val="20"/>
                <w:szCs w:val="20"/>
              </w:rPr>
            </w:pPr>
          </w:p>
        </w:tc>
        <w:tc>
          <w:tcPr>
            <w:tcW w:w="1274" w:type="dxa"/>
            <w:tcBorders>
              <w:top w:val="nil"/>
              <w:left w:val="nil"/>
              <w:bottom w:val="single" w:sz="4" w:space="0" w:color="auto"/>
              <w:right w:val="nil"/>
            </w:tcBorders>
            <w:shd w:val="clear" w:color="auto" w:fill="FFFFFF"/>
          </w:tcPr>
          <w:p w:rsidR="003D5C58" w:rsidRPr="003D5C58" w:rsidRDefault="003D5C58" w:rsidP="00076AFE">
            <w:pPr>
              <w:jc w:val="center"/>
              <w:rPr>
                <w:rFonts w:ascii="Times New Roman" w:hAnsi="Times New Roman" w:cs="Times New Roman"/>
                <w:sz w:val="20"/>
                <w:szCs w:val="20"/>
              </w:rPr>
            </w:pPr>
          </w:p>
        </w:tc>
      </w:tr>
      <w:tr w:rsidR="003D5C58" w:rsidRPr="00E32430" w:rsidTr="003D5C58">
        <w:trPr>
          <w:cantSplit/>
        </w:trPr>
        <w:tc>
          <w:tcPr>
            <w:tcW w:w="910" w:type="dxa"/>
            <w:vMerge w:val="restart"/>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Step 2</w:t>
            </w:r>
            <w:r w:rsidRPr="003D5C58">
              <w:rPr>
                <w:rFonts w:ascii="Times New Roman" w:hAnsi="Times New Roman" w:cs="Times New Roman"/>
                <w:sz w:val="20"/>
                <w:szCs w:val="20"/>
                <w:vertAlign w:val="superscript"/>
              </w:rPr>
              <w:t>a</w:t>
            </w:r>
          </w:p>
        </w:tc>
        <w:tc>
          <w:tcPr>
            <w:tcW w:w="1387"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mRNAp53</w:t>
            </w:r>
          </w:p>
        </w:tc>
        <w:tc>
          <w:tcPr>
            <w:tcW w:w="86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-0.039</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0.018</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4.697</w:t>
            </w:r>
          </w:p>
        </w:tc>
        <w:tc>
          <w:tcPr>
            <w:tcW w:w="371"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0.030</w:t>
            </w:r>
          </w:p>
        </w:tc>
        <w:tc>
          <w:tcPr>
            <w:tcW w:w="937"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0.962</w:t>
            </w:r>
          </w:p>
        </w:tc>
        <w:tc>
          <w:tcPr>
            <w:tcW w:w="1341"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0.929</w:t>
            </w:r>
          </w:p>
        </w:tc>
        <w:tc>
          <w:tcPr>
            <w:tcW w:w="1274"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0.996</w:t>
            </w:r>
          </w:p>
        </w:tc>
      </w:tr>
      <w:tr w:rsidR="003D5C58" w:rsidRPr="00E32430" w:rsidTr="003D5C58">
        <w:trPr>
          <w:cantSplit/>
        </w:trPr>
        <w:tc>
          <w:tcPr>
            <w:tcW w:w="910" w:type="dxa"/>
            <w:vMerge/>
            <w:tcBorders>
              <w:top w:val="nil"/>
              <w:left w:val="nil"/>
              <w:bottom w:val="nil"/>
              <w:right w:val="nil"/>
            </w:tcBorders>
            <w:shd w:val="clear" w:color="auto" w:fill="FFFFFF"/>
            <w:vAlign w:val="center"/>
          </w:tcPr>
          <w:p w:rsidR="003D5C58" w:rsidRPr="003D5C58" w:rsidRDefault="003D5C58" w:rsidP="00FA3D7E">
            <w:pPr>
              <w:rPr>
                <w:rFonts w:ascii="Times New Roman" w:hAnsi="Times New Roman" w:cs="Times New Roman"/>
                <w:sz w:val="20"/>
                <w:szCs w:val="20"/>
              </w:rPr>
            </w:pPr>
          </w:p>
        </w:tc>
        <w:tc>
          <w:tcPr>
            <w:tcW w:w="1387" w:type="dxa"/>
            <w:tcBorders>
              <w:top w:val="nil"/>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mRNABcl2</w:t>
            </w:r>
          </w:p>
        </w:tc>
        <w:tc>
          <w:tcPr>
            <w:tcW w:w="86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-0.007</w:t>
            </w:r>
          </w:p>
        </w:tc>
        <w:tc>
          <w:tcPr>
            <w:tcW w:w="78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0.008</w:t>
            </w:r>
          </w:p>
        </w:tc>
        <w:tc>
          <w:tcPr>
            <w:tcW w:w="78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0.807</w:t>
            </w:r>
          </w:p>
        </w:tc>
        <w:tc>
          <w:tcPr>
            <w:tcW w:w="371"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0.369</w:t>
            </w:r>
          </w:p>
        </w:tc>
        <w:tc>
          <w:tcPr>
            <w:tcW w:w="937"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0.993</w:t>
            </w:r>
          </w:p>
        </w:tc>
        <w:tc>
          <w:tcPr>
            <w:tcW w:w="1341"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0.977</w:t>
            </w:r>
          </w:p>
        </w:tc>
        <w:tc>
          <w:tcPr>
            <w:tcW w:w="1274" w:type="dxa"/>
            <w:tcBorders>
              <w:top w:val="nil"/>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1.009</w:t>
            </w:r>
          </w:p>
        </w:tc>
      </w:tr>
      <w:tr w:rsidR="003D5C58" w:rsidRPr="00E32430" w:rsidTr="003D5C58">
        <w:trPr>
          <w:cantSplit/>
        </w:trPr>
        <w:tc>
          <w:tcPr>
            <w:tcW w:w="910" w:type="dxa"/>
            <w:vMerge/>
            <w:tcBorders>
              <w:top w:val="nil"/>
              <w:left w:val="nil"/>
              <w:bottom w:val="single" w:sz="4" w:space="0" w:color="auto"/>
              <w:right w:val="nil"/>
            </w:tcBorders>
            <w:shd w:val="clear" w:color="auto" w:fill="FFFFFF"/>
            <w:vAlign w:val="center"/>
          </w:tcPr>
          <w:p w:rsidR="003D5C58" w:rsidRPr="003D5C58" w:rsidRDefault="003D5C58" w:rsidP="00FA3D7E">
            <w:pPr>
              <w:rPr>
                <w:rFonts w:ascii="Times New Roman" w:hAnsi="Times New Roman" w:cs="Times New Roman"/>
                <w:sz w:val="20"/>
                <w:szCs w:val="20"/>
              </w:rPr>
            </w:pPr>
          </w:p>
        </w:tc>
        <w:tc>
          <w:tcPr>
            <w:tcW w:w="1387" w:type="dxa"/>
            <w:tcBorders>
              <w:top w:val="nil"/>
              <w:left w:val="nil"/>
              <w:bottom w:val="single" w:sz="4" w:space="0" w:color="auto"/>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Constant</w:t>
            </w:r>
          </w:p>
        </w:tc>
        <w:tc>
          <w:tcPr>
            <w:tcW w:w="86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1.310</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0.715</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3.354</w:t>
            </w:r>
          </w:p>
        </w:tc>
        <w:tc>
          <w:tcPr>
            <w:tcW w:w="371"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0.067</w:t>
            </w:r>
          </w:p>
        </w:tc>
        <w:tc>
          <w:tcPr>
            <w:tcW w:w="937"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3.705</w:t>
            </w:r>
          </w:p>
        </w:tc>
        <w:tc>
          <w:tcPr>
            <w:tcW w:w="1341" w:type="dxa"/>
            <w:tcBorders>
              <w:top w:val="nil"/>
              <w:left w:val="nil"/>
              <w:bottom w:val="single" w:sz="4" w:space="0" w:color="auto"/>
              <w:right w:val="nil"/>
            </w:tcBorders>
            <w:shd w:val="clear" w:color="auto" w:fill="FFFFFF"/>
          </w:tcPr>
          <w:p w:rsidR="003D5C58" w:rsidRPr="003D5C58" w:rsidRDefault="003D5C58" w:rsidP="00076AFE">
            <w:pPr>
              <w:jc w:val="center"/>
              <w:rPr>
                <w:rFonts w:ascii="Times New Roman" w:hAnsi="Times New Roman" w:cs="Times New Roman"/>
                <w:sz w:val="20"/>
                <w:szCs w:val="20"/>
              </w:rPr>
            </w:pPr>
          </w:p>
        </w:tc>
        <w:tc>
          <w:tcPr>
            <w:tcW w:w="1274" w:type="dxa"/>
            <w:tcBorders>
              <w:top w:val="nil"/>
              <w:left w:val="nil"/>
              <w:bottom w:val="single" w:sz="4" w:space="0" w:color="auto"/>
              <w:right w:val="nil"/>
            </w:tcBorders>
            <w:shd w:val="clear" w:color="auto" w:fill="FFFFFF"/>
          </w:tcPr>
          <w:p w:rsidR="003D5C58" w:rsidRPr="003D5C58" w:rsidRDefault="003D5C58" w:rsidP="00076AFE">
            <w:pPr>
              <w:jc w:val="center"/>
              <w:rPr>
                <w:rFonts w:ascii="Times New Roman" w:hAnsi="Times New Roman" w:cs="Times New Roman"/>
                <w:sz w:val="20"/>
                <w:szCs w:val="20"/>
              </w:rPr>
            </w:pPr>
          </w:p>
        </w:tc>
      </w:tr>
      <w:tr w:rsidR="003D5C58" w:rsidRPr="00E32430" w:rsidTr="003D5C58">
        <w:trPr>
          <w:cantSplit/>
        </w:trPr>
        <w:tc>
          <w:tcPr>
            <w:tcW w:w="910" w:type="dxa"/>
            <w:vMerge w:val="restart"/>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Step 3</w:t>
            </w:r>
            <w:r w:rsidRPr="003D5C58">
              <w:rPr>
                <w:rFonts w:ascii="Times New Roman" w:hAnsi="Times New Roman" w:cs="Times New Roman"/>
                <w:sz w:val="20"/>
                <w:szCs w:val="20"/>
                <w:vertAlign w:val="superscript"/>
              </w:rPr>
              <w:t>a</w:t>
            </w:r>
          </w:p>
        </w:tc>
        <w:tc>
          <w:tcPr>
            <w:tcW w:w="1387"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mRNAp53</w:t>
            </w:r>
          </w:p>
        </w:tc>
        <w:tc>
          <w:tcPr>
            <w:tcW w:w="86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-0.043</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0.017</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6.027</w:t>
            </w:r>
          </w:p>
        </w:tc>
        <w:tc>
          <w:tcPr>
            <w:tcW w:w="371"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b/>
                <w:sz w:val="20"/>
                <w:szCs w:val="20"/>
              </w:rPr>
            </w:pPr>
            <w:r w:rsidRPr="003D5C58">
              <w:rPr>
                <w:rFonts w:ascii="Times New Roman" w:hAnsi="Times New Roman" w:cs="Times New Roman"/>
                <w:b/>
                <w:sz w:val="20"/>
                <w:szCs w:val="20"/>
              </w:rPr>
              <w:t>0.014</w:t>
            </w:r>
          </w:p>
        </w:tc>
        <w:tc>
          <w:tcPr>
            <w:tcW w:w="937"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0.958</w:t>
            </w:r>
          </w:p>
        </w:tc>
        <w:tc>
          <w:tcPr>
            <w:tcW w:w="1341"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0.926</w:t>
            </w:r>
          </w:p>
        </w:tc>
        <w:tc>
          <w:tcPr>
            <w:tcW w:w="1274" w:type="dxa"/>
            <w:tcBorders>
              <w:top w:val="single" w:sz="4" w:space="0" w:color="auto"/>
              <w:left w:val="nil"/>
              <w:bottom w:val="nil"/>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0.991</w:t>
            </w:r>
          </w:p>
        </w:tc>
      </w:tr>
      <w:tr w:rsidR="003D5C58" w:rsidRPr="00E32430" w:rsidTr="003D5C58">
        <w:trPr>
          <w:cantSplit/>
        </w:trPr>
        <w:tc>
          <w:tcPr>
            <w:tcW w:w="910" w:type="dxa"/>
            <w:vMerge/>
            <w:tcBorders>
              <w:top w:val="nil"/>
              <w:left w:val="nil"/>
              <w:bottom w:val="single" w:sz="4" w:space="0" w:color="auto"/>
              <w:right w:val="nil"/>
            </w:tcBorders>
            <w:shd w:val="clear" w:color="auto" w:fill="FFFFFF"/>
            <w:vAlign w:val="center"/>
          </w:tcPr>
          <w:p w:rsidR="003D5C58" w:rsidRPr="003D5C58" w:rsidRDefault="003D5C58" w:rsidP="00FA3D7E">
            <w:pPr>
              <w:rPr>
                <w:rFonts w:ascii="Times New Roman" w:hAnsi="Times New Roman" w:cs="Times New Roman"/>
                <w:sz w:val="20"/>
                <w:szCs w:val="20"/>
              </w:rPr>
            </w:pPr>
          </w:p>
        </w:tc>
        <w:tc>
          <w:tcPr>
            <w:tcW w:w="1387" w:type="dxa"/>
            <w:tcBorders>
              <w:top w:val="nil"/>
              <w:left w:val="nil"/>
              <w:bottom w:val="single" w:sz="4" w:space="0" w:color="auto"/>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cs="Times New Roman"/>
                <w:sz w:val="20"/>
                <w:szCs w:val="20"/>
              </w:rPr>
            </w:pPr>
            <w:r w:rsidRPr="003D5C58">
              <w:rPr>
                <w:rFonts w:ascii="Times New Roman" w:hAnsi="Times New Roman" w:cs="Times New Roman"/>
                <w:sz w:val="20"/>
                <w:szCs w:val="20"/>
              </w:rPr>
              <w:t>Constant</w:t>
            </w:r>
          </w:p>
        </w:tc>
        <w:tc>
          <w:tcPr>
            <w:tcW w:w="86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1.098</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0.651</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2.841</w:t>
            </w:r>
          </w:p>
        </w:tc>
        <w:tc>
          <w:tcPr>
            <w:tcW w:w="371"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1</w:t>
            </w:r>
          </w:p>
        </w:tc>
        <w:tc>
          <w:tcPr>
            <w:tcW w:w="780"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0.092</w:t>
            </w:r>
          </w:p>
        </w:tc>
        <w:tc>
          <w:tcPr>
            <w:tcW w:w="937" w:type="dxa"/>
            <w:tcBorders>
              <w:top w:val="nil"/>
              <w:left w:val="nil"/>
              <w:bottom w:val="single" w:sz="4" w:space="0" w:color="auto"/>
              <w:right w:val="nil"/>
            </w:tcBorders>
            <w:shd w:val="clear" w:color="auto" w:fill="FFFFFF"/>
            <w:vAlign w:val="center"/>
          </w:tcPr>
          <w:p w:rsidR="003D5C58" w:rsidRPr="003D5C58" w:rsidRDefault="003D5C58" w:rsidP="00076AFE">
            <w:pPr>
              <w:spacing w:line="320" w:lineRule="atLeast"/>
              <w:ind w:left="60" w:right="60"/>
              <w:jc w:val="center"/>
              <w:rPr>
                <w:rFonts w:ascii="Times New Roman" w:hAnsi="Times New Roman" w:cs="Times New Roman"/>
                <w:sz w:val="20"/>
                <w:szCs w:val="20"/>
              </w:rPr>
            </w:pPr>
            <w:r w:rsidRPr="003D5C58">
              <w:rPr>
                <w:rFonts w:ascii="Times New Roman" w:hAnsi="Times New Roman" w:cs="Times New Roman"/>
                <w:sz w:val="20"/>
                <w:szCs w:val="20"/>
              </w:rPr>
              <w:t>2.997</w:t>
            </w:r>
          </w:p>
        </w:tc>
        <w:tc>
          <w:tcPr>
            <w:tcW w:w="1341" w:type="dxa"/>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c>
          <w:tcPr>
            <w:tcW w:w="1274" w:type="dxa"/>
            <w:tcBorders>
              <w:top w:val="nil"/>
              <w:left w:val="nil"/>
              <w:bottom w:val="single" w:sz="4" w:space="0" w:color="auto"/>
              <w:right w:val="nil"/>
            </w:tcBorders>
            <w:shd w:val="clear" w:color="auto" w:fill="FFFFFF"/>
          </w:tcPr>
          <w:p w:rsidR="003D5C58" w:rsidRPr="003D5C58" w:rsidRDefault="003D5C58" w:rsidP="00FA3D7E">
            <w:pPr>
              <w:rPr>
                <w:rFonts w:ascii="Times New Roman" w:hAnsi="Times New Roman" w:cs="Times New Roman"/>
                <w:sz w:val="20"/>
                <w:szCs w:val="20"/>
              </w:rPr>
            </w:pPr>
          </w:p>
        </w:tc>
      </w:tr>
      <w:tr w:rsidR="003D5C58" w:rsidRPr="003D5C58" w:rsidTr="00076AFE">
        <w:trPr>
          <w:cantSplit/>
          <w:trHeight w:val="70"/>
        </w:trPr>
        <w:tc>
          <w:tcPr>
            <w:tcW w:w="910" w:type="dxa"/>
            <w:tcBorders>
              <w:top w:val="single" w:sz="4" w:space="0" w:color="auto"/>
              <w:left w:val="nil"/>
              <w:bottom w:val="nil"/>
              <w:right w:val="nil"/>
            </w:tcBorders>
            <w:shd w:val="clear" w:color="auto" w:fill="FFFFFF"/>
            <w:vAlign w:val="center"/>
          </w:tcPr>
          <w:p w:rsidR="003D5C58" w:rsidRPr="003D5C58" w:rsidRDefault="003D5C58" w:rsidP="00FA3D7E">
            <w:pPr>
              <w:rPr>
                <w:rFonts w:ascii="Times New Roman" w:hAnsi="Times New Roman"/>
                <w:sz w:val="16"/>
                <w:szCs w:val="16"/>
              </w:rPr>
            </w:pPr>
          </w:p>
        </w:tc>
        <w:tc>
          <w:tcPr>
            <w:tcW w:w="1387"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rPr>
                <w:rFonts w:ascii="Times New Roman" w:hAnsi="Times New Roman"/>
                <w:sz w:val="16"/>
                <w:szCs w:val="16"/>
              </w:rPr>
            </w:pPr>
          </w:p>
        </w:tc>
        <w:tc>
          <w:tcPr>
            <w:tcW w:w="860"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jc w:val="right"/>
              <w:rPr>
                <w:rFonts w:ascii="Times New Roman" w:hAnsi="Times New Roman"/>
                <w:sz w:val="16"/>
                <w:szCs w:val="16"/>
              </w:rPr>
            </w:pPr>
          </w:p>
        </w:tc>
        <w:tc>
          <w:tcPr>
            <w:tcW w:w="780"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jc w:val="right"/>
              <w:rPr>
                <w:rFonts w:ascii="Times New Roman" w:hAnsi="Times New Roman"/>
                <w:sz w:val="16"/>
                <w:szCs w:val="16"/>
              </w:rPr>
            </w:pPr>
          </w:p>
        </w:tc>
        <w:tc>
          <w:tcPr>
            <w:tcW w:w="780"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jc w:val="right"/>
              <w:rPr>
                <w:rFonts w:ascii="Times New Roman" w:hAnsi="Times New Roman"/>
                <w:sz w:val="16"/>
                <w:szCs w:val="16"/>
              </w:rPr>
            </w:pPr>
          </w:p>
        </w:tc>
        <w:tc>
          <w:tcPr>
            <w:tcW w:w="371"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jc w:val="right"/>
              <w:rPr>
                <w:rFonts w:ascii="Times New Roman" w:hAnsi="Times New Roman"/>
                <w:sz w:val="16"/>
                <w:szCs w:val="16"/>
              </w:rPr>
            </w:pPr>
          </w:p>
        </w:tc>
        <w:tc>
          <w:tcPr>
            <w:tcW w:w="780"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jc w:val="right"/>
              <w:rPr>
                <w:rFonts w:ascii="Times New Roman" w:hAnsi="Times New Roman"/>
                <w:sz w:val="16"/>
                <w:szCs w:val="16"/>
              </w:rPr>
            </w:pPr>
          </w:p>
        </w:tc>
        <w:tc>
          <w:tcPr>
            <w:tcW w:w="937" w:type="dxa"/>
            <w:tcBorders>
              <w:top w:val="single" w:sz="4" w:space="0" w:color="auto"/>
              <w:left w:val="nil"/>
              <w:bottom w:val="nil"/>
              <w:right w:val="nil"/>
            </w:tcBorders>
            <w:shd w:val="clear" w:color="auto" w:fill="FFFFFF"/>
            <w:vAlign w:val="center"/>
          </w:tcPr>
          <w:p w:rsidR="003D5C58" w:rsidRPr="003D5C58" w:rsidRDefault="003D5C58" w:rsidP="00FA3D7E">
            <w:pPr>
              <w:spacing w:line="320" w:lineRule="atLeast"/>
              <w:ind w:left="60" w:right="60"/>
              <w:jc w:val="right"/>
              <w:rPr>
                <w:rFonts w:ascii="Times New Roman" w:hAnsi="Times New Roman"/>
                <w:sz w:val="16"/>
                <w:szCs w:val="16"/>
              </w:rPr>
            </w:pPr>
          </w:p>
        </w:tc>
        <w:tc>
          <w:tcPr>
            <w:tcW w:w="1341" w:type="dxa"/>
            <w:tcBorders>
              <w:top w:val="single" w:sz="4" w:space="0" w:color="auto"/>
              <w:left w:val="nil"/>
              <w:bottom w:val="nil"/>
              <w:right w:val="nil"/>
            </w:tcBorders>
            <w:shd w:val="clear" w:color="auto" w:fill="FFFFFF"/>
          </w:tcPr>
          <w:p w:rsidR="003D5C58" w:rsidRPr="003D5C58" w:rsidRDefault="003D5C58" w:rsidP="00FA3D7E">
            <w:pPr>
              <w:rPr>
                <w:rFonts w:ascii="Times New Roman" w:hAnsi="Times New Roman"/>
                <w:sz w:val="16"/>
                <w:szCs w:val="16"/>
              </w:rPr>
            </w:pPr>
          </w:p>
        </w:tc>
        <w:tc>
          <w:tcPr>
            <w:tcW w:w="1274" w:type="dxa"/>
            <w:tcBorders>
              <w:top w:val="single" w:sz="4" w:space="0" w:color="auto"/>
              <w:left w:val="nil"/>
              <w:bottom w:val="nil"/>
              <w:right w:val="nil"/>
            </w:tcBorders>
            <w:shd w:val="clear" w:color="auto" w:fill="FFFFFF"/>
          </w:tcPr>
          <w:p w:rsidR="003D5C58" w:rsidRPr="003D5C58" w:rsidRDefault="003D5C58" w:rsidP="00FA3D7E">
            <w:pPr>
              <w:rPr>
                <w:rFonts w:ascii="Times New Roman" w:hAnsi="Times New Roman"/>
                <w:sz w:val="16"/>
                <w:szCs w:val="16"/>
              </w:rPr>
            </w:pPr>
          </w:p>
        </w:tc>
      </w:tr>
    </w:tbl>
    <w:p w:rsidR="009F01D0" w:rsidRPr="009F01D0" w:rsidRDefault="003D5C58" w:rsidP="009F01D0">
      <w:pPr>
        <w:pStyle w:val="Els-body-text"/>
        <w:widowControl w:val="0"/>
        <w:spacing w:before="100" w:beforeAutospacing="1" w:after="100" w:afterAutospacing="1" w:line="360" w:lineRule="auto"/>
        <w:ind w:firstLine="0"/>
        <w:rPr>
          <w:rFonts w:asciiTheme="majorBidi" w:hAnsiTheme="majorBidi" w:cstheme="majorBidi"/>
          <w:b/>
          <w:bCs/>
        </w:rPr>
      </w:pPr>
      <w:r>
        <w:rPr>
          <w:rFonts w:asciiTheme="majorBidi" w:hAnsiTheme="majorBidi" w:cstheme="majorBidi"/>
          <w:b/>
          <w:bCs/>
        </w:rPr>
        <w:t>D</w:t>
      </w:r>
      <w:r w:rsidR="009F01D0" w:rsidRPr="009F01D0">
        <w:rPr>
          <w:rFonts w:asciiTheme="majorBidi" w:hAnsiTheme="majorBidi" w:cstheme="majorBidi"/>
          <w:b/>
          <w:bCs/>
        </w:rPr>
        <w:t>iscussion.</w:t>
      </w:r>
    </w:p>
    <w:p w:rsidR="009F01D0" w:rsidRPr="000F1278" w:rsidRDefault="009F01D0" w:rsidP="009F01D0">
      <w:pPr>
        <w:pStyle w:val="Els-body-text"/>
        <w:widowControl w:val="0"/>
        <w:spacing w:before="100" w:beforeAutospacing="1" w:after="100" w:afterAutospacing="1" w:line="360" w:lineRule="auto"/>
        <w:ind w:firstLine="0"/>
        <w:rPr>
          <w:rFonts w:asciiTheme="majorBidi" w:hAnsiTheme="majorBidi" w:cstheme="majorBidi"/>
          <w:bCs/>
          <w:vertAlign w:val="superscript"/>
        </w:rPr>
      </w:pPr>
      <w:proofErr w:type="spellStart"/>
      <w:r w:rsidRPr="009F01D0">
        <w:rPr>
          <w:rFonts w:asciiTheme="majorBidi" w:hAnsiTheme="majorBidi" w:cstheme="majorBidi"/>
          <w:bCs/>
        </w:rPr>
        <w:t>PCa</w:t>
      </w:r>
      <w:proofErr w:type="spellEnd"/>
      <w:r w:rsidRPr="009F01D0">
        <w:rPr>
          <w:rFonts w:asciiTheme="majorBidi" w:hAnsiTheme="majorBidi" w:cstheme="majorBidi"/>
          <w:bCs/>
        </w:rPr>
        <w:t xml:space="preserve"> is one of the malignancies with the highest </w:t>
      </w:r>
      <w:r w:rsidR="00C54873">
        <w:rPr>
          <w:rFonts w:asciiTheme="majorBidi" w:hAnsiTheme="majorBidi" w:cstheme="majorBidi"/>
          <w:bCs/>
        </w:rPr>
        <w:t>frequency of genetic variations</w:t>
      </w:r>
      <w:r w:rsidRPr="009F01D0">
        <w:rPr>
          <w:rFonts w:asciiTheme="majorBidi" w:hAnsiTheme="majorBidi" w:cstheme="majorBidi"/>
          <w:bCs/>
        </w:rPr>
        <w:t>.</w:t>
      </w:r>
      <w:r w:rsidR="00C54873">
        <w:rPr>
          <w:rFonts w:asciiTheme="majorBidi" w:hAnsiTheme="majorBidi" w:cstheme="majorBidi"/>
          <w:bCs/>
          <w:vertAlign w:val="superscript"/>
        </w:rPr>
        <w:t>[19]</w:t>
      </w:r>
      <w:r w:rsidRPr="009F01D0">
        <w:rPr>
          <w:rFonts w:asciiTheme="majorBidi" w:hAnsiTheme="majorBidi" w:cstheme="majorBidi"/>
          <w:bCs/>
        </w:rPr>
        <w:t xml:space="preserve"> Renan has calculated a probability of 12 mutated g</w:t>
      </w:r>
      <w:r w:rsidR="0072273E">
        <w:rPr>
          <w:rFonts w:asciiTheme="majorBidi" w:hAnsiTheme="majorBidi" w:cstheme="majorBidi"/>
          <w:bCs/>
        </w:rPr>
        <w:t>enes from epidemiological data</w:t>
      </w:r>
      <w:r w:rsidRPr="009F01D0">
        <w:rPr>
          <w:rFonts w:asciiTheme="majorBidi" w:hAnsiTheme="majorBidi" w:cstheme="majorBidi"/>
          <w:bCs/>
        </w:rPr>
        <w:t>.</w:t>
      </w:r>
      <w:r w:rsidR="0072273E">
        <w:rPr>
          <w:rFonts w:asciiTheme="majorBidi" w:hAnsiTheme="majorBidi" w:cstheme="majorBidi"/>
          <w:bCs/>
          <w:vertAlign w:val="superscript"/>
        </w:rPr>
        <w:t>[20]</w:t>
      </w:r>
      <w:r w:rsidRPr="009F01D0">
        <w:rPr>
          <w:rFonts w:asciiTheme="majorBidi" w:hAnsiTheme="majorBidi" w:cstheme="majorBidi"/>
          <w:bCs/>
        </w:rPr>
        <w:t xml:space="preserve"> It has been suggested that a subset of mutant alleles acquired by a </w:t>
      </w:r>
      <w:r w:rsidR="00C51A04" w:rsidRPr="009F01D0">
        <w:rPr>
          <w:rFonts w:asciiTheme="majorBidi" w:hAnsiTheme="majorBidi" w:cstheme="majorBidi"/>
          <w:bCs/>
        </w:rPr>
        <w:t>sub clone</w:t>
      </w:r>
      <w:r w:rsidRPr="009F01D0">
        <w:rPr>
          <w:rFonts w:asciiTheme="majorBidi" w:hAnsiTheme="majorBidi" w:cstheme="majorBidi"/>
          <w:bCs/>
        </w:rPr>
        <w:t xml:space="preserve"> of tumor cells early in tumorigenesis leads not only to a selected replication advantage, but also, later in tumorigenesis,</w:t>
      </w:r>
      <w:r w:rsidR="00C54873">
        <w:rPr>
          <w:rFonts w:asciiTheme="majorBidi" w:hAnsiTheme="majorBidi" w:cstheme="majorBidi"/>
          <w:bCs/>
        </w:rPr>
        <w:t xml:space="preserve"> to the ability to metastasize</w:t>
      </w:r>
      <w:r w:rsidRPr="009F01D0">
        <w:rPr>
          <w:rFonts w:asciiTheme="majorBidi" w:hAnsiTheme="majorBidi" w:cstheme="majorBidi"/>
          <w:bCs/>
        </w:rPr>
        <w:t>.</w:t>
      </w:r>
      <w:r w:rsidR="00C54873">
        <w:rPr>
          <w:rFonts w:asciiTheme="majorBidi" w:hAnsiTheme="majorBidi" w:cstheme="majorBidi"/>
          <w:bCs/>
          <w:vertAlign w:val="superscript"/>
        </w:rPr>
        <w:t>[21]</w:t>
      </w:r>
      <w:r w:rsidRPr="009F01D0">
        <w:rPr>
          <w:rFonts w:asciiTheme="majorBidi" w:hAnsiTheme="majorBidi" w:cstheme="majorBidi"/>
          <w:bCs/>
        </w:rPr>
        <w:t xml:space="preserve"> Clinical tumor stage, Gleason score, and pretherapy serum prostate-specific antigen (PSA) in </w:t>
      </w:r>
      <w:r w:rsidR="00C51A04" w:rsidRPr="009F01D0">
        <w:rPr>
          <w:rFonts w:asciiTheme="majorBidi" w:hAnsiTheme="majorBidi" w:cstheme="majorBidi"/>
          <w:bCs/>
        </w:rPr>
        <w:t>descending</w:t>
      </w:r>
      <w:r w:rsidRPr="009F01D0">
        <w:rPr>
          <w:rFonts w:asciiTheme="majorBidi" w:hAnsiTheme="majorBidi" w:cstheme="majorBidi"/>
          <w:bCs/>
        </w:rPr>
        <w:t xml:space="preserve"> order were independently associated with clinical</w:t>
      </w:r>
      <w:r w:rsidR="00CB411F">
        <w:rPr>
          <w:rFonts w:asciiTheme="majorBidi" w:hAnsiTheme="majorBidi" w:cstheme="majorBidi"/>
          <w:bCs/>
        </w:rPr>
        <w:t xml:space="preserve"> or biochemical relapse of </w:t>
      </w:r>
      <w:proofErr w:type="spellStart"/>
      <w:r w:rsidR="00CB411F">
        <w:rPr>
          <w:rFonts w:asciiTheme="majorBidi" w:hAnsiTheme="majorBidi" w:cstheme="majorBidi"/>
          <w:bCs/>
        </w:rPr>
        <w:t>PCa</w:t>
      </w:r>
      <w:proofErr w:type="spellEnd"/>
      <w:r w:rsidRPr="009F01D0">
        <w:rPr>
          <w:rFonts w:asciiTheme="majorBidi" w:hAnsiTheme="majorBidi" w:cstheme="majorBidi"/>
          <w:bCs/>
        </w:rPr>
        <w:t>.</w:t>
      </w:r>
      <w:r w:rsidR="00CB411F">
        <w:rPr>
          <w:rFonts w:asciiTheme="majorBidi" w:hAnsiTheme="majorBidi" w:cstheme="majorBidi"/>
          <w:bCs/>
          <w:vertAlign w:val="superscript"/>
        </w:rPr>
        <w:t>[22]</w:t>
      </w:r>
      <w:r w:rsidRPr="009F01D0">
        <w:rPr>
          <w:rFonts w:asciiTheme="majorBidi" w:hAnsiTheme="majorBidi" w:cstheme="majorBidi"/>
          <w:bCs/>
        </w:rPr>
        <w:t xml:space="preserve"> mRNA P53 expression is a</w:t>
      </w:r>
      <w:r w:rsidR="00C51A04">
        <w:rPr>
          <w:rFonts w:asciiTheme="majorBidi" w:hAnsiTheme="majorBidi" w:cstheme="majorBidi"/>
          <w:bCs/>
        </w:rPr>
        <w:t>n</w:t>
      </w:r>
      <w:r w:rsidRPr="009F01D0">
        <w:rPr>
          <w:rFonts w:asciiTheme="majorBidi" w:hAnsiTheme="majorBidi" w:cstheme="majorBidi"/>
          <w:bCs/>
        </w:rPr>
        <w:t xml:space="preserve"> </w:t>
      </w:r>
      <w:r w:rsidR="00C51A04">
        <w:rPr>
          <w:rFonts w:asciiTheme="majorBidi" w:hAnsiTheme="majorBidi" w:cstheme="majorBidi"/>
          <w:bCs/>
        </w:rPr>
        <w:t>a</w:t>
      </w:r>
      <w:r w:rsidR="00C51A04" w:rsidRPr="009F01D0">
        <w:rPr>
          <w:rFonts w:asciiTheme="majorBidi" w:hAnsiTheme="majorBidi" w:cstheme="majorBidi"/>
          <w:bCs/>
        </w:rPr>
        <w:t>bsolut</w:t>
      </w:r>
      <w:r w:rsidR="00C51A04">
        <w:rPr>
          <w:rFonts w:asciiTheme="majorBidi" w:hAnsiTheme="majorBidi" w:cstheme="majorBidi"/>
          <w:bCs/>
        </w:rPr>
        <w:t>e</w:t>
      </w:r>
      <w:r w:rsidRPr="009F01D0">
        <w:rPr>
          <w:rFonts w:asciiTheme="majorBidi" w:hAnsiTheme="majorBidi" w:cstheme="majorBidi"/>
          <w:bCs/>
        </w:rPr>
        <w:t xml:space="preserve"> value result from transcription promoter gen P53. It has been suggested that a subset of mutation and the protein caused apoptosis not function, cell survival and DNA repaired not occurred. The cancer cell become progressive and prognosis is worse, cancer undergo metastasis and castration </w:t>
      </w:r>
      <w:r w:rsidR="00C51A04" w:rsidRPr="009F01D0">
        <w:rPr>
          <w:rFonts w:asciiTheme="majorBidi" w:hAnsiTheme="majorBidi" w:cstheme="majorBidi"/>
          <w:bCs/>
        </w:rPr>
        <w:t>resistant</w:t>
      </w:r>
      <w:r w:rsidRPr="009F01D0">
        <w:rPr>
          <w:rFonts w:asciiTheme="majorBidi" w:hAnsiTheme="majorBidi" w:cstheme="majorBidi"/>
          <w:bCs/>
        </w:rPr>
        <w:t xml:space="preserve">. </w:t>
      </w:r>
      <w:r w:rsidR="00B77D3E" w:rsidRPr="009F01D0">
        <w:rPr>
          <w:rFonts w:asciiTheme="majorBidi" w:hAnsiTheme="majorBidi" w:cstheme="majorBidi"/>
          <w:bCs/>
        </w:rPr>
        <w:t>Although not</w:t>
      </w:r>
      <w:r w:rsidRPr="009F01D0">
        <w:rPr>
          <w:rFonts w:asciiTheme="majorBidi" w:hAnsiTheme="majorBidi" w:cstheme="majorBidi"/>
          <w:bCs/>
        </w:rPr>
        <w:t xml:space="preserve"> only apoptosis </w:t>
      </w:r>
      <w:r w:rsidR="00B77D3E" w:rsidRPr="009F01D0">
        <w:rPr>
          <w:rFonts w:asciiTheme="majorBidi" w:hAnsiTheme="majorBidi" w:cstheme="majorBidi"/>
          <w:bCs/>
        </w:rPr>
        <w:t>has</w:t>
      </w:r>
      <w:r w:rsidRPr="009F01D0">
        <w:rPr>
          <w:rFonts w:asciiTheme="majorBidi" w:hAnsiTheme="majorBidi" w:cstheme="majorBidi"/>
          <w:bCs/>
        </w:rPr>
        <w:t xml:space="preserve"> a role, perhaps there is multiple mutation follow the first </w:t>
      </w:r>
      <w:r w:rsidR="002F5023">
        <w:rPr>
          <w:rFonts w:asciiTheme="majorBidi" w:hAnsiTheme="majorBidi" w:cstheme="majorBidi"/>
          <w:bCs/>
        </w:rPr>
        <w:t>mutation.</w:t>
      </w:r>
      <w:r w:rsidR="002F5023">
        <w:rPr>
          <w:rFonts w:asciiTheme="majorBidi" w:hAnsiTheme="majorBidi" w:cstheme="majorBidi"/>
          <w:bCs/>
          <w:vertAlign w:val="superscript"/>
        </w:rPr>
        <w:t xml:space="preserve"> [</w:t>
      </w:r>
      <w:r w:rsidR="00B77D3E">
        <w:rPr>
          <w:rFonts w:asciiTheme="majorBidi" w:hAnsiTheme="majorBidi" w:cstheme="majorBidi"/>
          <w:bCs/>
          <w:vertAlign w:val="superscript"/>
        </w:rPr>
        <w:t>23,24]</w:t>
      </w:r>
      <w:r w:rsidRPr="009F01D0">
        <w:rPr>
          <w:rFonts w:asciiTheme="majorBidi" w:hAnsiTheme="majorBidi" w:cstheme="majorBidi"/>
          <w:bCs/>
        </w:rPr>
        <w:t xml:space="preserve"> The antiapoptotic protein Bcl-2 is overexpressed in about half of all prostate cancers, particularly</w:t>
      </w:r>
      <w:r w:rsidR="000F1278">
        <w:rPr>
          <w:rFonts w:asciiTheme="majorBidi" w:hAnsiTheme="majorBidi" w:cstheme="majorBidi"/>
          <w:bCs/>
        </w:rPr>
        <w:t xml:space="preserve"> in androgen-independent </w:t>
      </w:r>
      <w:r w:rsidR="002F5023">
        <w:rPr>
          <w:rFonts w:asciiTheme="majorBidi" w:hAnsiTheme="majorBidi" w:cstheme="majorBidi"/>
          <w:bCs/>
        </w:rPr>
        <w:t>cases</w:t>
      </w:r>
      <w:r w:rsidR="002F5023" w:rsidRPr="009F01D0">
        <w:rPr>
          <w:rFonts w:asciiTheme="majorBidi" w:hAnsiTheme="majorBidi" w:cstheme="majorBidi"/>
          <w:bCs/>
        </w:rPr>
        <w:t>.</w:t>
      </w:r>
      <w:r w:rsidR="002F5023">
        <w:rPr>
          <w:rFonts w:asciiTheme="majorBidi" w:hAnsiTheme="majorBidi" w:cstheme="majorBidi"/>
          <w:bCs/>
          <w:vertAlign w:val="superscript"/>
        </w:rPr>
        <w:t xml:space="preserve"> [</w:t>
      </w:r>
      <w:r w:rsidR="000F1278">
        <w:rPr>
          <w:rFonts w:asciiTheme="majorBidi" w:hAnsiTheme="majorBidi" w:cstheme="majorBidi"/>
          <w:bCs/>
          <w:vertAlign w:val="superscript"/>
        </w:rPr>
        <w:t>25</w:t>
      </w:r>
      <w:r w:rsidR="002F5023">
        <w:rPr>
          <w:rFonts w:asciiTheme="majorBidi" w:hAnsiTheme="majorBidi" w:cstheme="majorBidi"/>
          <w:bCs/>
          <w:vertAlign w:val="superscript"/>
        </w:rPr>
        <w:t>]</w:t>
      </w:r>
      <w:r w:rsidR="002F5023" w:rsidRPr="009F01D0">
        <w:rPr>
          <w:rFonts w:asciiTheme="majorBidi" w:hAnsiTheme="majorBidi" w:cstheme="majorBidi"/>
          <w:bCs/>
        </w:rPr>
        <w:t xml:space="preserve"> Second</w:t>
      </w:r>
      <w:r w:rsidRPr="009F01D0">
        <w:rPr>
          <w:rFonts w:asciiTheme="majorBidi" w:hAnsiTheme="majorBidi" w:cstheme="majorBidi"/>
          <w:bCs/>
        </w:rPr>
        <w:t xml:space="preserve"> factor in diminished apoptosis in prostate cancers is Bcl-2. Bcl-2 is not expressed in normal secretory epithelial cells of the prostate, but starting from PIN, Bcl-2 is frequently expre</w:t>
      </w:r>
      <w:r w:rsidR="000F1278">
        <w:rPr>
          <w:rFonts w:asciiTheme="majorBidi" w:hAnsiTheme="majorBidi" w:cstheme="majorBidi"/>
          <w:bCs/>
        </w:rPr>
        <w:t xml:space="preserve">ssed throughout the </w:t>
      </w:r>
      <w:r w:rsidR="002F5023">
        <w:rPr>
          <w:rFonts w:asciiTheme="majorBidi" w:hAnsiTheme="majorBidi" w:cstheme="majorBidi"/>
          <w:bCs/>
        </w:rPr>
        <w:t>epithelium</w:t>
      </w:r>
      <w:r w:rsidR="002F5023" w:rsidRPr="009F01D0">
        <w:rPr>
          <w:rFonts w:asciiTheme="majorBidi" w:hAnsiTheme="majorBidi" w:cstheme="majorBidi"/>
          <w:bCs/>
        </w:rPr>
        <w:t>.</w:t>
      </w:r>
      <w:r w:rsidR="002F5023">
        <w:rPr>
          <w:rFonts w:asciiTheme="majorBidi" w:hAnsiTheme="majorBidi" w:cstheme="majorBidi"/>
          <w:bCs/>
          <w:vertAlign w:val="superscript"/>
        </w:rPr>
        <w:t xml:space="preserve"> [</w:t>
      </w:r>
      <w:r w:rsidR="000F1278">
        <w:rPr>
          <w:rFonts w:asciiTheme="majorBidi" w:hAnsiTheme="majorBidi" w:cstheme="majorBidi"/>
          <w:bCs/>
          <w:vertAlign w:val="superscript"/>
        </w:rPr>
        <w:t>25]</w:t>
      </w:r>
      <w:r w:rsidRPr="009F01D0">
        <w:rPr>
          <w:rFonts w:asciiTheme="majorBidi" w:hAnsiTheme="majorBidi" w:cstheme="majorBidi"/>
          <w:bCs/>
        </w:rPr>
        <w:t xml:space="preserve"> Interestingly, in the androgen-dependent LNCaP prostate </w:t>
      </w:r>
      <w:r w:rsidRPr="009F01D0">
        <w:rPr>
          <w:rFonts w:asciiTheme="majorBidi" w:hAnsiTheme="majorBidi" w:cstheme="majorBidi"/>
          <w:bCs/>
        </w:rPr>
        <w:lastRenderedPageBreak/>
        <w:t>carcinoma cell line Bcl-2 expression is androgen-</w:t>
      </w:r>
      <w:proofErr w:type="gramStart"/>
      <w:r w:rsidRPr="009F01D0">
        <w:rPr>
          <w:rFonts w:asciiTheme="majorBidi" w:hAnsiTheme="majorBidi" w:cstheme="majorBidi"/>
          <w:bCs/>
        </w:rPr>
        <w:t>dependent.</w:t>
      </w:r>
      <w:r w:rsidR="000F1278">
        <w:rPr>
          <w:rFonts w:asciiTheme="majorBidi" w:hAnsiTheme="majorBidi" w:cstheme="majorBidi"/>
          <w:bCs/>
          <w:vertAlign w:val="superscript"/>
        </w:rPr>
        <w:t>[</w:t>
      </w:r>
      <w:proofErr w:type="gramEnd"/>
      <w:r w:rsidR="000F1278">
        <w:rPr>
          <w:rFonts w:asciiTheme="majorBidi" w:hAnsiTheme="majorBidi" w:cstheme="majorBidi"/>
          <w:bCs/>
          <w:vertAlign w:val="superscript"/>
        </w:rPr>
        <w:t>26]</w:t>
      </w:r>
    </w:p>
    <w:p w:rsidR="00AE530A" w:rsidRPr="00CD4ED7" w:rsidRDefault="009F01D0" w:rsidP="00AE530A">
      <w:pPr>
        <w:pStyle w:val="Els-body-text"/>
        <w:widowControl w:val="0"/>
        <w:spacing w:before="100" w:beforeAutospacing="1" w:after="100" w:afterAutospacing="1" w:line="360" w:lineRule="auto"/>
        <w:ind w:firstLine="0"/>
        <w:rPr>
          <w:rFonts w:asciiTheme="majorBidi" w:hAnsiTheme="majorBidi" w:cstheme="majorBidi"/>
          <w:bCs/>
          <w:vertAlign w:val="superscript"/>
        </w:rPr>
      </w:pPr>
      <w:r w:rsidRPr="009F01D0">
        <w:rPr>
          <w:rFonts w:asciiTheme="majorBidi" w:hAnsiTheme="majorBidi" w:cstheme="majorBidi"/>
          <w:bCs/>
        </w:rPr>
        <w:t>TP53 tumor suppressor gene is one of the most frequently mutat</w:t>
      </w:r>
      <w:r w:rsidR="00CD4ED7">
        <w:rPr>
          <w:rFonts w:asciiTheme="majorBidi" w:hAnsiTheme="majorBidi" w:cstheme="majorBidi"/>
          <w:bCs/>
        </w:rPr>
        <w:t xml:space="preserve">ed genes in human </w:t>
      </w:r>
      <w:r w:rsidR="002F5023">
        <w:rPr>
          <w:rFonts w:asciiTheme="majorBidi" w:hAnsiTheme="majorBidi" w:cstheme="majorBidi"/>
          <w:bCs/>
        </w:rPr>
        <w:t>malignancies</w:t>
      </w:r>
      <w:r w:rsidR="002F5023" w:rsidRPr="009F01D0">
        <w:rPr>
          <w:rFonts w:asciiTheme="majorBidi" w:hAnsiTheme="majorBidi" w:cstheme="majorBidi"/>
          <w:bCs/>
        </w:rPr>
        <w:t>.</w:t>
      </w:r>
      <w:r w:rsidR="002F5023">
        <w:rPr>
          <w:rFonts w:asciiTheme="majorBidi" w:hAnsiTheme="majorBidi" w:cstheme="majorBidi"/>
          <w:bCs/>
          <w:vertAlign w:val="superscript"/>
        </w:rPr>
        <w:t xml:space="preserve"> [</w:t>
      </w:r>
      <w:r w:rsidR="00CD4ED7">
        <w:rPr>
          <w:rFonts w:asciiTheme="majorBidi" w:hAnsiTheme="majorBidi" w:cstheme="majorBidi"/>
          <w:bCs/>
          <w:vertAlign w:val="superscript"/>
        </w:rPr>
        <w:t>27]</w:t>
      </w:r>
      <w:r w:rsidRPr="009F01D0">
        <w:rPr>
          <w:rFonts w:asciiTheme="majorBidi" w:hAnsiTheme="majorBidi" w:cstheme="majorBidi"/>
          <w:bCs/>
        </w:rPr>
        <w:t xml:space="preserve"> However, the mutation frequency of TP53 in </w:t>
      </w:r>
      <w:proofErr w:type="spellStart"/>
      <w:r w:rsidRPr="009F01D0">
        <w:rPr>
          <w:rFonts w:asciiTheme="majorBidi" w:hAnsiTheme="majorBidi" w:cstheme="majorBidi"/>
          <w:bCs/>
        </w:rPr>
        <w:t>PC</w:t>
      </w:r>
      <w:r w:rsidR="00CD4ED7">
        <w:rPr>
          <w:rFonts w:asciiTheme="majorBidi" w:hAnsiTheme="majorBidi" w:cstheme="majorBidi"/>
          <w:bCs/>
        </w:rPr>
        <w:t>a</w:t>
      </w:r>
      <w:proofErr w:type="spellEnd"/>
      <w:r w:rsidR="00CD4ED7">
        <w:rPr>
          <w:rFonts w:asciiTheme="majorBidi" w:hAnsiTheme="majorBidi" w:cstheme="majorBidi"/>
          <w:bCs/>
        </w:rPr>
        <w:t xml:space="preserve"> has a low level of about 30</w:t>
      </w:r>
      <w:r w:rsidR="002F5023">
        <w:rPr>
          <w:rFonts w:asciiTheme="majorBidi" w:hAnsiTheme="majorBidi" w:cstheme="majorBidi"/>
          <w:bCs/>
        </w:rPr>
        <w:t>%</w:t>
      </w:r>
      <w:r w:rsidR="002F5023" w:rsidRPr="009F01D0">
        <w:rPr>
          <w:rFonts w:asciiTheme="majorBidi" w:hAnsiTheme="majorBidi" w:cstheme="majorBidi"/>
          <w:bCs/>
        </w:rPr>
        <w:t>.</w:t>
      </w:r>
      <w:r w:rsidR="002F5023">
        <w:rPr>
          <w:rFonts w:asciiTheme="majorBidi" w:hAnsiTheme="majorBidi" w:cstheme="majorBidi"/>
          <w:bCs/>
          <w:vertAlign w:val="superscript"/>
        </w:rPr>
        <w:t xml:space="preserve"> [</w:t>
      </w:r>
      <w:r w:rsidR="00CD4ED7">
        <w:rPr>
          <w:rFonts w:asciiTheme="majorBidi" w:hAnsiTheme="majorBidi" w:cstheme="majorBidi"/>
          <w:bCs/>
          <w:vertAlign w:val="superscript"/>
        </w:rPr>
        <w:t>28]</w:t>
      </w:r>
      <w:r w:rsidRPr="009F01D0">
        <w:rPr>
          <w:rFonts w:asciiTheme="majorBidi" w:hAnsiTheme="majorBidi" w:cstheme="majorBidi"/>
          <w:bCs/>
        </w:rPr>
        <w:t xml:space="preserve"> Furthermore, the TP53 mutation frequency in prostate tumor tissue does not show a significant rising level in correlation with rising tumor grading and staging, as for example in bladder cancer. Mutations of TP53 influence the activation of cell proliferation and suppressio</w:t>
      </w:r>
      <w:r w:rsidR="00CD4ED7">
        <w:rPr>
          <w:rFonts w:asciiTheme="majorBidi" w:hAnsiTheme="majorBidi" w:cstheme="majorBidi"/>
          <w:bCs/>
        </w:rPr>
        <w:t xml:space="preserve">n of DNA repair, and </w:t>
      </w:r>
      <w:r w:rsidR="002F5023">
        <w:rPr>
          <w:rFonts w:asciiTheme="majorBidi" w:hAnsiTheme="majorBidi" w:cstheme="majorBidi"/>
          <w:bCs/>
        </w:rPr>
        <w:t>apoptosis</w:t>
      </w:r>
      <w:r w:rsidR="002F5023" w:rsidRPr="009F01D0">
        <w:rPr>
          <w:rFonts w:asciiTheme="majorBidi" w:hAnsiTheme="majorBidi" w:cstheme="majorBidi"/>
          <w:bCs/>
        </w:rPr>
        <w:t>.</w:t>
      </w:r>
      <w:r w:rsidR="002F5023">
        <w:rPr>
          <w:rFonts w:asciiTheme="majorBidi" w:hAnsiTheme="majorBidi" w:cstheme="majorBidi"/>
          <w:bCs/>
          <w:vertAlign w:val="superscript"/>
        </w:rPr>
        <w:t xml:space="preserve"> [</w:t>
      </w:r>
      <w:r w:rsidR="00CD4ED7">
        <w:rPr>
          <w:rFonts w:asciiTheme="majorBidi" w:hAnsiTheme="majorBidi" w:cstheme="majorBidi"/>
          <w:bCs/>
          <w:vertAlign w:val="superscript"/>
        </w:rPr>
        <w:t>29]</w:t>
      </w:r>
      <w:r w:rsidRPr="009F01D0">
        <w:rPr>
          <w:rFonts w:asciiTheme="majorBidi" w:hAnsiTheme="majorBidi" w:cstheme="majorBidi"/>
          <w:bCs/>
        </w:rPr>
        <w:t xml:space="preserve"> Therefore, an acceleration of tumor progression</w:t>
      </w:r>
      <w:r w:rsidR="00CD4ED7">
        <w:rPr>
          <w:rFonts w:asciiTheme="majorBidi" w:hAnsiTheme="majorBidi" w:cstheme="majorBidi"/>
          <w:bCs/>
        </w:rPr>
        <w:t xml:space="preserve"> by TP53 mutations was </w:t>
      </w:r>
      <w:r w:rsidR="002F5023">
        <w:rPr>
          <w:rFonts w:asciiTheme="majorBidi" w:hAnsiTheme="majorBidi" w:cstheme="majorBidi"/>
          <w:bCs/>
        </w:rPr>
        <w:t>claimed</w:t>
      </w:r>
      <w:r w:rsidR="002F5023" w:rsidRPr="009F01D0">
        <w:rPr>
          <w:rFonts w:asciiTheme="majorBidi" w:hAnsiTheme="majorBidi" w:cstheme="majorBidi"/>
          <w:bCs/>
        </w:rPr>
        <w:t>.</w:t>
      </w:r>
      <w:r w:rsidR="002F5023">
        <w:rPr>
          <w:rFonts w:asciiTheme="majorBidi" w:hAnsiTheme="majorBidi" w:cstheme="majorBidi"/>
          <w:bCs/>
          <w:vertAlign w:val="superscript"/>
        </w:rPr>
        <w:t xml:space="preserve"> [</w:t>
      </w:r>
      <w:r w:rsidR="00CD4ED7">
        <w:rPr>
          <w:rFonts w:asciiTheme="majorBidi" w:hAnsiTheme="majorBidi" w:cstheme="majorBidi"/>
          <w:bCs/>
          <w:vertAlign w:val="superscript"/>
        </w:rPr>
        <w:t>30,31]</w:t>
      </w:r>
      <w:r w:rsidRPr="009F01D0">
        <w:rPr>
          <w:rFonts w:asciiTheme="majorBidi" w:hAnsiTheme="majorBidi" w:cstheme="majorBidi"/>
          <w:bCs/>
        </w:rPr>
        <w:t xml:space="preserve"> </w:t>
      </w:r>
      <w:proofErr w:type="spellStart"/>
      <w:r w:rsidRPr="009F01D0">
        <w:rPr>
          <w:rFonts w:asciiTheme="majorBidi" w:hAnsiTheme="majorBidi" w:cstheme="majorBidi"/>
          <w:bCs/>
        </w:rPr>
        <w:t>Kuczyk</w:t>
      </w:r>
      <w:proofErr w:type="spellEnd"/>
      <w:r w:rsidRPr="009F01D0">
        <w:rPr>
          <w:rFonts w:asciiTheme="majorBidi" w:hAnsiTheme="majorBidi" w:cstheme="majorBidi"/>
          <w:bCs/>
        </w:rPr>
        <w:t xml:space="preserve"> et al. have described a correlation between overexpression of p53 protein and tumor progression in </w:t>
      </w:r>
      <w:proofErr w:type="spellStart"/>
      <w:r w:rsidRPr="009F01D0">
        <w:rPr>
          <w:rFonts w:asciiTheme="majorBidi" w:hAnsiTheme="majorBidi" w:cstheme="majorBidi"/>
          <w:bCs/>
        </w:rPr>
        <w:t>PCa</w:t>
      </w:r>
      <w:proofErr w:type="spellEnd"/>
      <w:r w:rsidRPr="009F01D0">
        <w:rPr>
          <w:rFonts w:asciiTheme="majorBidi" w:hAnsiTheme="majorBidi" w:cstheme="majorBidi"/>
          <w:bCs/>
        </w:rPr>
        <w:t xml:space="preserve"> patients during univariate analysis. P53 overexpression, histological grading, and tumor stage were significant prognostic factors for survival, among which only P53 overexpression remained an independent significant pred</w:t>
      </w:r>
      <w:r w:rsidR="00CD4ED7">
        <w:rPr>
          <w:rFonts w:asciiTheme="majorBidi" w:hAnsiTheme="majorBidi" w:cstheme="majorBidi"/>
          <w:bCs/>
        </w:rPr>
        <w:t xml:space="preserve">ictor in multivariate </w:t>
      </w:r>
      <w:r w:rsidR="002F5023">
        <w:rPr>
          <w:rFonts w:asciiTheme="majorBidi" w:hAnsiTheme="majorBidi" w:cstheme="majorBidi"/>
          <w:bCs/>
        </w:rPr>
        <w:t>analysis.</w:t>
      </w:r>
      <w:r w:rsidR="002F5023">
        <w:rPr>
          <w:rFonts w:asciiTheme="majorBidi" w:hAnsiTheme="majorBidi" w:cstheme="majorBidi"/>
          <w:bCs/>
          <w:vertAlign w:val="superscript"/>
        </w:rPr>
        <w:t xml:space="preserve"> [</w:t>
      </w:r>
      <w:r w:rsidR="00CD4ED7">
        <w:rPr>
          <w:rFonts w:asciiTheme="majorBidi" w:hAnsiTheme="majorBidi" w:cstheme="majorBidi"/>
          <w:bCs/>
          <w:vertAlign w:val="superscript"/>
        </w:rPr>
        <w:t>32]</w:t>
      </w:r>
    </w:p>
    <w:p w:rsidR="009F01D0" w:rsidRPr="009F01D0" w:rsidRDefault="009F01D0" w:rsidP="00AE530A">
      <w:pPr>
        <w:pStyle w:val="Els-body-text"/>
        <w:widowControl w:val="0"/>
        <w:spacing w:before="100" w:beforeAutospacing="1" w:after="100" w:afterAutospacing="1" w:line="360" w:lineRule="auto"/>
        <w:ind w:firstLine="0"/>
        <w:rPr>
          <w:rFonts w:asciiTheme="majorBidi" w:hAnsiTheme="majorBidi" w:cstheme="majorBidi"/>
          <w:bCs/>
        </w:rPr>
      </w:pPr>
      <w:r w:rsidRPr="009F01D0">
        <w:rPr>
          <w:rFonts w:asciiTheme="majorBidi" w:hAnsiTheme="majorBidi" w:cstheme="majorBidi"/>
          <w:bCs/>
        </w:rPr>
        <w:t xml:space="preserve">In this study gen P53 </w:t>
      </w:r>
      <w:r w:rsidR="00C51A04" w:rsidRPr="009F01D0">
        <w:rPr>
          <w:rFonts w:asciiTheme="majorBidi" w:hAnsiTheme="majorBidi" w:cstheme="majorBidi"/>
          <w:bCs/>
        </w:rPr>
        <w:t>expression</w:t>
      </w:r>
      <w:r w:rsidRPr="009F01D0">
        <w:rPr>
          <w:rFonts w:asciiTheme="majorBidi" w:hAnsiTheme="majorBidi" w:cstheme="majorBidi"/>
          <w:bCs/>
        </w:rPr>
        <w:t xml:space="preserve">, </w:t>
      </w:r>
      <w:r w:rsidR="00C51A04" w:rsidRPr="009F01D0">
        <w:rPr>
          <w:rFonts w:asciiTheme="majorBidi" w:hAnsiTheme="majorBidi" w:cstheme="majorBidi"/>
          <w:bCs/>
        </w:rPr>
        <w:t>histopathological</w:t>
      </w:r>
      <w:r w:rsidRPr="009F01D0">
        <w:rPr>
          <w:rFonts w:asciiTheme="majorBidi" w:hAnsiTheme="majorBidi" w:cstheme="majorBidi"/>
          <w:bCs/>
        </w:rPr>
        <w:t xml:space="preserve"> Gleason score during </w:t>
      </w:r>
      <w:r w:rsidR="00C51A04" w:rsidRPr="009F01D0">
        <w:rPr>
          <w:rFonts w:asciiTheme="majorBidi" w:hAnsiTheme="majorBidi" w:cstheme="majorBidi"/>
          <w:bCs/>
        </w:rPr>
        <w:t>univariate</w:t>
      </w:r>
      <w:r w:rsidRPr="009F01D0">
        <w:rPr>
          <w:rFonts w:asciiTheme="majorBidi" w:hAnsiTheme="majorBidi" w:cstheme="majorBidi"/>
          <w:bCs/>
        </w:rPr>
        <w:t xml:space="preserve"> and </w:t>
      </w:r>
      <w:r w:rsidR="00C51A04" w:rsidRPr="009F01D0">
        <w:rPr>
          <w:rFonts w:asciiTheme="majorBidi" w:hAnsiTheme="majorBidi" w:cstheme="majorBidi"/>
          <w:bCs/>
        </w:rPr>
        <w:t>multivariate</w:t>
      </w:r>
      <w:r w:rsidR="00C51A04">
        <w:rPr>
          <w:rFonts w:asciiTheme="majorBidi" w:hAnsiTheme="majorBidi" w:cstheme="majorBidi"/>
          <w:bCs/>
        </w:rPr>
        <w:t xml:space="preserve"> </w:t>
      </w:r>
      <w:r w:rsidRPr="009F01D0">
        <w:rPr>
          <w:rFonts w:asciiTheme="majorBidi" w:hAnsiTheme="majorBidi" w:cstheme="majorBidi"/>
          <w:bCs/>
        </w:rPr>
        <w:t xml:space="preserve">analysis were significant correlation. </w:t>
      </w:r>
    </w:p>
    <w:p w:rsidR="009F01D0" w:rsidRPr="00AE530A" w:rsidRDefault="00C51A04" w:rsidP="00AE530A">
      <w:pPr>
        <w:pStyle w:val="Els-body-text"/>
        <w:widowControl w:val="0"/>
        <w:spacing w:before="100" w:beforeAutospacing="1" w:after="100" w:afterAutospacing="1" w:line="360" w:lineRule="auto"/>
        <w:ind w:firstLine="0"/>
        <w:rPr>
          <w:rFonts w:asciiTheme="majorBidi" w:hAnsiTheme="majorBidi" w:cstheme="majorBidi"/>
          <w:b/>
          <w:bCs/>
        </w:rPr>
      </w:pPr>
      <w:r w:rsidRPr="00AE530A">
        <w:rPr>
          <w:rFonts w:asciiTheme="majorBidi" w:hAnsiTheme="majorBidi" w:cstheme="majorBidi"/>
          <w:b/>
          <w:bCs/>
        </w:rPr>
        <w:t>Conclusion</w:t>
      </w:r>
      <w:r w:rsidR="009F01D0" w:rsidRPr="00AE530A">
        <w:rPr>
          <w:rFonts w:asciiTheme="majorBidi" w:hAnsiTheme="majorBidi" w:cstheme="majorBidi"/>
          <w:b/>
          <w:bCs/>
        </w:rPr>
        <w:t xml:space="preserve">. </w:t>
      </w:r>
    </w:p>
    <w:p w:rsidR="009E2796" w:rsidRDefault="009F01D0" w:rsidP="009E2796">
      <w:pPr>
        <w:pStyle w:val="Els-body-text"/>
        <w:widowControl w:val="0"/>
        <w:spacing w:before="100" w:beforeAutospacing="1" w:after="100" w:afterAutospacing="1" w:line="360" w:lineRule="auto"/>
        <w:ind w:firstLine="0"/>
      </w:pPr>
      <w:r w:rsidRPr="009F01D0">
        <w:rPr>
          <w:rFonts w:asciiTheme="majorBidi" w:hAnsiTheme="majorBidi" w:cstheme="majorBidi"/>
          <w:bCs/>
        </w:rPr>
        <w:t xml:space="preserve">With the result that P53 gene expression can be used as </w:t>
      </w:r>
      <w:proofErr w:type="spellStart"/>
      <w:proofErr w:type="gramStart"/>
      <w:r w:rsidRPr="009F01D0">
        <w:rPr>
          <w:rFonts w:asciiTheme="majorBidi" w:hAnsiTheme="majorBidi" w:cstheme="majorBidi"/>
          <w:bCs/>
        </w:rPr>
        <w:t>a</w:t>
      </w:r>
      <w:proofErr w:type="spellEnd"/>
      <w:proofErr w:type="gramEnd"/>
      <w:r w:rsidRPr="009F01D0">
        <w:rPr>
          <w:rFonts w:asciiTheme="majorBidi" w:hAnsiTheme="majorBidi" w:cstheme="majorBidi"/>
          <w:bCs/>
        </w:rPr>
        <w:t xml:space="preserve"> independent prognostic factor for prostate cancer.</w:t>
      </w:r>
      <w:r w:rsidR="009E2796" w:rsidRPr="009E2796">
        <w:t xml:space="preserve"> </w:t>
      </w:r>
    </w:p>
    <w:p w:rsidR="009E2796" w:rsidRDefault="009E2796" w:rsidP="009E2796">
      <w:pPr>
        <w:pStyle w:val="Els-body-text"/>
        <w:widowControl w:val="0"/>
        <w:spacing w:before="100" w:beforeAutospacing="1" w:after="100" w:afterAutospacing="1" w:line="360" w:lineRule="auto"/>
        <w:ind w:firstLine="0"/>
        <w:rPr>
          <w:rFonts w:asciiTheme="majorBidi" w:hAnsiTheme="majorBidi" w:cstheme="majorBidi"/>
          <w:b/>
          <w:bCs/>
        </w:rPr>
      </w:pPr>
      <w:r w:rsidRPr="009E2796">
        <w:rPr>
          <w:rFonts w:asciiTheme="majorBidi" w:hAnsiTheme="majorBidi" w:cstheme="majorBidi"/>
          <w:b/>
          <w:bCs/>
        </w:rPr>
        <w:t>References</w:t>
      </w:r>
    </w:p>
    <w:p w:rsidR="00B74FCB" w:rsidRPr="00C947A3" w:rsidRDefault="00C947A3" w:rsidP="00B74FCB">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956CF6">
        <w:rPr>
          <w:rFonts w:asciiTheme="majorBidi" w:hAnsiTheme="majorBidi" w:cstheme="majorBidi"/>
          <w:bCs/>
        </w:rPr>
        <w:t xml:space="preserve">B </w:t>
      </w:r>
      <w:proofErr w:type="spellStart"/>
      <w:r w:rsidRPr="00956CF6">
        <w:rPr>
          <w:rFonts w:asciiTheme="majorBidi" w:hAnsiTheme="majorBidi" w:cstheme="majorBidi"/>
          <w:bCs/>
        </w:rPr>
        <w:t>Sihombing</w:t>
      </w:r>
      <w:proofErr w:type="spellEnd"/>
      <w:r w:rsidRPr="00956CF6">
        <w:rPr>
          <w:rFonts w:asciiTheme="majorBidi" w:hAnsiTheme="majorBidi" w:cstheme="majorBidi"/>
          <w:bCs/>
        </w:rPr>
        <w:t xml:space="preserve">, </w:t>
      </w:r>
      <w:proofErr w:type="spellStart"/>
      <w:r w:rsidRPr="00956CF6">
        <w:rPr>
          <w:rFonts w:asciiTheme="majorBidi" w:hAnsiTheme="majorBidi" w:cstheme="majorBidi"/>
          <w:bCs/>
        </w:rPr>
        <w:t>Jamaludin</w:t>
      </w:r>
      <w:proofErr w:type="spellEnd"/>
      <w:r w:rsidRPr="00956CF6">
        <w:rPr>
          <w:rFonts w:asciiTheme="majorBidi" w:hAnsiTheme="majorBidi" w:cstheme="majorBidi"/>
          <w:bCs/>
        </w:rPr>
        <w:t xml:space="preserve">, DH Cong, S Ibrahim, S </w:t>
      </w:r>
      <w:proofErr w:type="spellStart"/>
      <w:r w:rsidRPr="00956CF6">
        <w:rPr>
          <w:rFonts w:asciiTheme="majorBidi" w:hAnsiTheme="majorBidi" w:cstheme="majorBidi"/>
          <w:bCs/>
        </w:rPr>
        <w:t>Syukur</w:t>
      </w:r>
      <w:proofErr w:type="spellEnd"/>
      <w:r w:rsidRPr="00956CF6">
        <w:rPr>
          <w:rFonts w:asciiTheme="majorBidi" w:hAnsiTheme="majorBidi" w:cstheme="majorBidi"/>
          <w:bCs/>
        </w:rPr>
        <w:t>. “</w:t>
      </w:r>
      <w:proofErr w:type="spellStart"/>
      <w:r w:rsidRPr="00956CF6">
        <w:rPr>
          <w:rFonts w:asciiTheme="majorBidi" w:hAnsiTheme="majorBidi" w:cstheme="majorBidi"/>
          <w:bCs/>
        </w:rPr>
        <w:t>Immunohistohemical</w:t>
      </w:r>
      <w:proofErr w:type="spellEnd"/>
      <w:r w:rsidRPr="00956CF6">
        <w:rPr>
          <w:rFonts w:asciiTheme="majorBidi" w:hAnsiTheme="majorBidi" w:cstheme="majorBidi"/>
          <w:bCs/>
        </w:rPr>
        <w:t xml:space="preserve"> detection on p53 protein as a prognostic indicator in prostate carcinoma.” The Journal of Chemical and Pharmaceutical Research, vol. 7(9), pp. 10. 2015</w:t>
      </w:r>
      <w:r>
        <w:rPr>
          <w:rFonts w:asciiTheme="majorBidi" w:hAnsiTheme="majorBidi" w:cstheme="majorBidi"/>
          <w:bCs/>
        </w:rPr>
        <w:t>.</w:t>
      </w:r>
    </w:p>
    <w:p w:rsidR="00B74FCB" w:rsidRPr="00B74FCB" w:rsidRDefault="00B74FCB" w:rsidP="00B74FCB">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Pr>
          <w:rFonts w:asciiTheme="majorBidi" w:hAnsiTheme="majorBidi" w:cstheme="majorBidi"/>
          <w:bCs/>
        </w:rPr>
        <w:t xml:space="preserve">C </w:t>
      </w:r>
      <w:proofErr w:type="spellStart"/>
      <w:r>
        <w:rPr>
          <w:rFonts w:asciiTheme="majorBidi" w:hAnsiTheme="majorBidi" w:cstheme="majorBidi"/>
          <w:bCs/>
        </w:rPr>
        <w:t>Caulin</w:t>
      </w:r>
      <w:proofErr w:type="spellEnd"/>
      <w:r w:rsidRPr="009E2796">
        <w:rPr>
          <w:rFonts w:asciiTheme="majorBidi" w:hAnsiTheme="majorBidi" w:cstheme="majorBidi"/>
          <w:bCs/>
        </w:rPr>
        <w:t xml:space="preserve">, </w:t>
      </w:r>
      <w:r>
        <w:rPr>
          <w:rFonts w:asciiTheme="majorBidi" w:hAnsiTheme="majorBidi" w:cstheme="majorBidi"/>
          <w:bCs/>
        </w:rPr>
        <w:t>T Nguyen</w:t>
      </w:r>
      <w:r w:rsidRPr="009E2796">
        <w:rPr>
          <w:rFonts w:asciiTheme="majorBidi" w:hAnsiTheme="majorBidi" w:cstheme="majorBidi"/>
          <w:bCs/>
        </w:rPr>
        <w:t xml:space="preserve">, </w:t>
      </w:r>
      <w:r>
        <w:rPr>
          <w:rFonts w:asciiTheme="majorBidi" w:hAnsiTheme="majorBidi" w:cstheme="majorBidi"/>
          <w:bCs/>
        </w:rPr>
        <w:t>GA Lang</w:t>
      </w:r>
      <w:r w:rsidRPr="009E2796">
        <w:rPr>
          <w:rFonts w:asciiTheme="majorBidi" w:hAnsiTheme="majorBidi" w:cstheme="majorBidi"/>
          <w:bCs/>
        </w:rPr>
        <w:t xml:space="preserve">, </w:t>
      </w:r>
      <w:r>
        <w:rPr>
          <w:rFonts w:asciiTheme="majorBidi" w:hAnsiTheme="majorBidi" w:cstheme="majorBidi"/>
          <w:bCs/>
        </w:rPr>
        <w:t xml:space="preserve">TM </w:t>
      </w:r>
      <w:proofErr w:type="spellStart"/>
      <w:r>
        <w:rPr>
          <w:rFonts w:asciiTheme="majorBidi" w:hAnsiTheme="majorBidi" w:cstheme="majorBidi"/>
          <w:bCs/>
        </w:rPr>
        <w:t>Goepfert</w:t>
      </w:r>
      <w:proofErr w:type="spellEnd"/>
      <w:r w:rsidRPr="009E2796">
        <w:rPr>
          <w:rFonts w:asciiTheme="majorBidi" w:hAnsiTheme="majorBidi" w:cstheme="majorBidi"/>
          <w:bCs/>
        </w:rPr>
        <w:t xml:space="preserve">, </w:t>
      </w:r>
      <w:r>
        <w:rPr>
          <w:rFonts w:asciiTheme="majorBidi" w:hAnsiTheme="majorBidi" w:cstheme="majorBidi"/>
          <w:bCs/>
        </w:rPr>
        <w:t xml:space="preserve">BR </w:t>
      </w:r>
      <w:r w:rsidRPr="009E2796">
        <w:rPr>
          <w:rFonts w:asciiTheme="majorBidi" w:hAnsiTheme="majorBidi" w:cstheme="majorBidi"/>
          <w:bCs/>
        </w:rPr>
        <w:t>Brink</w:t>
      </w:r>
      <w:r>
        <w:rPr>
          <w:rFonts w:asciiTheme="majorBidi" w:hAnsiTheme="majorBidi" w:cstheme="majorBidi"/>
          <w:bCs/>
        </w:rPr>
        <w:t>ley</w:t>
      </w:r>
      <w:r w:rsidRPr="009E2796">
        <w:rPr>
          <w:rFonts w:asciiTheme="majorBidi" w:hAnsiTheme="majorBidi" w:cstheme="majorBidi"/>
          <w:bCs/>
        </w:rPr>
        <w:t xml:space="preserve">, </w:t>
      </w:r>
      <w:r>
        <w:rPr>
          <w:rFonts w:asciiTheme="majorBidi" w:hAnsiTheme="majorBidi" w:cstheme="majorBidi"/>
          <w:bCs/>
        </w:rPr>
        <w:t>WW Cai</w:t>
      </w:r>
      <w:r w:rsidRPr="009E2796">
        <w:rPr>
          <w:rFonts w:asciiTheme="majorBidi" w:hAnsiTheme="majorBidi" w:cstheme="majorBidi"/>
          <w:bCs/>
        </w:rPr>
        <w:t xml:space="preserve">, </w:t>
      </w:r>
      <w:r>
        <w:rPr>
          <w:rFonts w:asciiTheme="majorBidi" w:hAnsiTheme="majorBidi" w:cstheme="majorBidi"/>
          <w:bCs/>
        </w:rPr>
        <w:t>G Lozano</w:t>
      </w:r>
      <w:r w:rsidRPr="009E2796">
        <w:rPr>
          <w:rFonts w:asciiTheme="majorBidi" w:hAnsiTheme="majorBidi" w:cstheme="majorBidi"/>
          <w:bCs/>
        </w:rPr>
        <w:t>, and</w:t>
      </w:r>
      <w:r>
        <w:rPr>
          <w:rFonts w:asciiTheme="majorBidi" w:hAnsiTheme="majorBidi" w:cstheme="majorBidi"/>
          <w:bCs/>
        </w:rPr>
        <w:t xml:space="preserve"> DR </w:t>
      </w:r>
      <w:proofErr w:type="spellStart"/>
      <w:r>
        <w:rPr>
          <w:rFonts w:asciiTheme="majorBidi" w:hAnsiTheme="majorBidi" w:cstheme="majorBidi"/>
          <w:bCs/>
        </w:rPr>
        <w:t>Roop</w:t>
      </w:r>
      <w:proofErr w:type="spellEnd"/>
      <w:r>
        <w:rPr>
          <w:rFonts w:asciiTheme="majorBidi" w:hAnsiTheme="majorBidi" w:cstheme="majorBidi"/>
          <w:bCs/>
        </w:rPr>
        <w:t>. “</w:t>
      </w:r>
      <w:r w:rsidRPr="009E2796">
        <w:rPr>
          <w:rFonts w:asciiTheme="majorBidi" w:hAnsiTheme="majorBidi" w:cstheme="majorBidi"/>
          <w:bCs/>
        </w:rPr>
        <w:t>An inducible mouse model for skin cancer reveals distinct roles for gain- and loss-of-function p53 mutations.</w:t>
      </w:r>
      <w:r>
        <w:rPr>
          <w:rFonts w:asciiTheme="majorBidi" w:hAnsiTheme="majorBidi" w:cstheme="majorBidi"/>
          <w:bCs/>
        </w:rPr>
        <w:t>”</w:t>
      </w:r>
      <w:r w:rsidRPr="009E2796">
        <w:rPr>
          <w:rFonts w:asciiTheme="majorBidi" w:hAnsiTheme="majorBidi" w:cstheme="majorBidi"/>
          <w:bCs/>
        </w:rPr>
        <w:t xml:space="preserve"> </w:t>
      </w:r>
      <w:r w:rsidRPr="00FA3D7E">
        <w:rPr>
          <w:rFonts w:asciiTheme="majorBidi" w:hAnsiTheme="majorBidi" w:cstheme="majorBidi"/>
          <w:bCs/>
          <w:i/>
        </w:rPr>
        <w:t xml:space="preserve">J </w:t>
      </w:r>
      <w:proofErr w:type="spellStart"/>
      <w:r w:rsidRPr="00FA3D7E">
        <w:rPr>
          <w:rFonts w:asciiTheme="majorBidi" w:hAnsiTheme="majorBidi" w:cstheme="majorBidi"/>
          <w:bCs/>
          <w:i/>
        </w:rPr>
        <w:t>Clin</w:t>
      </w:r>
      <w:proofErr w:type="spellEnd"/>
      <w:r w:rsidRPr="00FA3D7E">
        <w:rPr>
          <w:rFonts w:asciiTheme="majorBidi" w:hAnsiTheme="majorBidi" w:cstheme="majorBidi"/>
          <w:bCs/>
          <w:i/>
        </w:rPr>
        <w:t xml:space="preserve"> Invest</w:t>
      </w:r>
      <w:r>
        <w:rPr>
          <w:rFonts w:asciiTheme="majorBidi" w:hAnsiTheme="majorBidi" w:cstheme="majorBidi"/>
          <w:bCs/>
        </w:rPr>
        <w:t xml:space="preserve">. vol. </w:t>
      </w:r>
      <w:r w:rsidRPr="009E2796">
        <w:rPr>
          <w:rFonts w:asciiTheme="majorBidi" w:hAnsiTheme="majorBidi" w:cstheme="majorBidi"/>
          <w:bCs/>
        </w:rPr>
        <w:t>117</w:t>
      </w:r>
      <w:r>
        <w:rPr>
          <w:rFonts w:asciiTheme="majorBidi" w:hAnsiTheme="majorBidi" w:cstheme="majorBidi"/>
          <w:bCs/>
        </w:rPr>
        <w:t>(7). pp.</w:t>
      </w:r>
      <w:r w:rsidRPr="009E2796">
        <w:rPr>
          <w:rFonts w:asciiTheme="majorBidi" w:hAnsiTheme="majorBidi" w:cstheme="majorBidi"/>
          <w:bCs/>
        </w:rPr>
        <w:t>1893</w:t>
      </w:r>
      <w:r>
        <w:rPr>
          <w:rFonts w:asciiTheme="majorBidi" w:hAnsiTheme="majorBidi" w:cstheme="majorBidi"/>
          <w:bCs/>
        </w:rPr>
        <w:t>-901. 2007.</w:t>
      </w:r>
    </w:p>
    <w:p w:rsidR="00B74FCB" w:rsidRPr="001124FE" w:rsidRDefault="00B74FCB" w:rsidP="00B74FCB">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Pr>
          <w:rFonts w:asciiTheme="majorBidi" w:hAnsiTheme="majorBidi" w:cstheme="majorBidi"/>
          <w:bCs/>
        </w:rPr>
        <w:t>G Liu</w:t>
      </w:r>
      <w:r w:rsidRPr="009E2796">
        <w:rPr>
          <w:rFonts w:asciiTheme="majorBidi" w:hAnsiTheme="majorBidi" w:cstheme="majorBidi"/>
          <w:bCs/>
        </w:rPr>
        <w:t xml:space="preserve">, </w:t>
      </w:r>
      <w:r>
        <w:rPr>
          <w:rFonts w:asciiTheme="majorBidi" w:hAnsiTheme="majorBidi" w:cstheme="majorBidi"/>
          <w:bCs/>
        </w:rPr>
        <w:t>TJ McDonnell</w:t>
      </w:r>
      <w:r w:rsidRPr="009E2796">
        <w:rPr>
          <w:rFonts w:asciiTheme="majorBidi" w:hAnsiTheme="majorBidi" w:cstheme="majorBidi"/>
          <w:bCs/>
        </w:rPr>
        <w:t>,</w:t>
      </w:r>
      <w:r>
        <w:rPr>
          <w:rFonts w:asciiTheme="majorBidi" w:hAnsiTheme="majorBidi" w:cstheme="majorBidi"/>
          <w:bCs/>
        </w:rPr>
        <w:t xml:space="preserve"> R Montes de </w:t>
      </w:r>
      <w:proofErr w:type="spellStart"/>
      <w:r>
        <w:rPr>
          <w:rFonts w:asciiTheme="majorBidi" w:hAnsiTheme="majorBidi" w:cstheme="majorBidi"/>
          <w:bCs/>
        </w:rPr>
        <w:t>Oca</w:t>
      </w:r>
      <w:proofErr w:type="spellEnd"/>
      <w:r>
        <w:rPr>
          <w:rFonts w:asciiTheme="majorBidi" w:hAnsiTheme="majorBidi" w:cstheme="majorBidi"/>
          <w:bCs/>
        </w:rPr>
        <w:t xml:space="preserve"> Luna</w:t>
      </w:r>
      <w:r w:rsidRPr="009E2796">
        <w:rPr>
          <w:rFonts w:asciiTheme="majorBidi" w:hAnsiTheme="majorBidi" w:cstheme="majorBidi"/>
          <w:bCs/>
        </w:rPr>
        <w:t>,</w:t>
      </w:r>
      <w:r>
        <w:rPr>
          <w:rFonts w:asciiTheme="majorBidi" w:hAnsiTheme="majorBidi" w:cstheme="majorBidi"/>
          <w:bCs/>
        </w:rPr>
        <w:t xml:space="preserve"> M Kapoor</w:t>
      </w:r>
      <w:r w:rsidRPr="009E2796">
        <w:rPr>
          <w:rFonts w:asciiTheme="majorBidi" w:hAnsiTheme="majorBidi" w:cstheme="majorBidi"/>
          <w:bCs/>
        </w:rPr>
        <w:t xml:space="preserve">, </w:t>
      </w:r>
      <w:r>
        <w:rPr>
          <w:rFonts w:asciiTheme="majorBidi" w:hAnsiTheme="majorBidi" w:cstheme="majorBidi"/>
          <w:bCs/>
        </w:rPr>
        <w:t>B Mims</w:t>
      </w:r>
      <w:r w:rsidRPr="009E2796">
        <w:rPr>
          <w:rFonts w:asciiTheme="majorBidi" w:hAnsiTheme="majorBidi" w:cstheme="majorBidi"/>
          <w:bCs/>
        </w:rPr>
        <w:t>,</w:t>
      </w:r>
      <w:r>
        <w:rPr>
          <w:rFonts w:asciiTheme="majorBidi" w:hAnsiTheme="majorBidi" w:cstheme="majorBidi"/>
          <w:bCs/>
        </w:rPr>
        <w:t xml:space="preserve"> AK El-</w:t>
      </w:r>
      <w:proofErr w:type="spellStart"/>
      <w:r>
        <w:rPr>
          <w:rFonts w:asciiTheme="majorBidi" w:hAnsiTheme="majorBidi" w:cstheme="majorBidi"/>
          <w:bCs/>
        </w:rPr>
        <w:t>Naggar</w:t>
      </w:r>
      <w:proofErr w:type="spellEnd"/>
      <w:r w:rsidRPr="009E2796">
        <w:rPr>
          <w:rFonts w:asciiTheme="majorBidi" w:hAnsiTheme="majorBidi" w:cstheme="majorBidi"/>
          <w:bCs/>
        </w:rPr>
        <w:t>, and</w:t>
      </w:r>
      <w:r>
        <w:rPr>
          <w:rFonts w:asciiTheme="majorBidi" w:hAnsiTheme="majorBidi" w:cstheme="majorBidi"/>
          <w:bCs/>
        </w:rPr>
        <w:t xml:space="preserve"> G</w:t>
      </w:r>
      <w:r w:rsidRPr="009E2796">
        <w:rPr>
          <w:rFonts w:asciiTheme="majorBidi" w:hAnsiTheme="majorBidi" w:cstheme="majorBidi"/>
          <w:bCs/>
        </w:rPr>
        <w:t xml:space="preserve"> Lozan</w:t>
      </w:r>
      <w:r>
        <w:rPr>
          <w:rFonts w:asciiTheme="majorBidi" w:hAnsiTheme="majorBidi" w:cstheme="majorBidi"/>
          <w:bCs/>
        </w:rPr>
        <w:t>o</w:t>
      </w:r>
      <w:r w:rsidRPr="009E2796">
        <w:rPr>
          <w:rFonts w:asciiTheme="majorBidi" w:hAnsiTheme="majorBidi" w:cstheme="majorBidi"/>
          <w:bCs/>
        </w:rPr>
        <w:t xml:space="preserve">. </w:t>
      </w:r>
      <w:r>
        <w:rPr>
          <w:rFonts w:asciiTheme="majorBidi" w:hAnsiTheme="majorBidi" w:cstheme="majorBidi"/>
          <w:bCs/>
        </w:rPr>
        <w:t>“</w:t>
      </w:r>
      <w:r w:rsidRPr="009E2796">
        <w:rPr>
          <w:rFonts w:asciiTheme="majorBidi" w:hAnsiTheme="majorBidi" w:cstheme="majorBidi"/>
          <w:bCs/>
        </w:rPr>
        <w:t>High metastatic potential in mice inheriting a targeted p53 missense mutation.</w:t>
      </w:r>
      <w:r>
        <w:rPr>
          <w:rFonts w:asciiTheme="majorBidi" w:hAnsiTheme="majorBidi" w:cstheme="majorBidi"/>
          <w:bCs/>
        </w:rPr>
        <w:t>”</w:t>
      </w:r>
      <w:r w:rsidRPr="009E2796">
        <w:rPr>
          <w:rFonts w:asciiTheme="majorBidi" w:hAnsiTheme="majorBidi" w:cstheme="majorBidi"/>
          <w:bCs/>
        </w:rPr>
        <w:t xml:space="preserve"> </w:t>
      </w:r>
      <w:r>
        <w:rPr>
          <w:rFonts w:asciiTheme="majorBidi" w:hAnsiTheme="majorBidi" w:cstheme="majorBidi"/>
          <w:bCs/>
          <w:i/>
        </w:rPr>
        <w:t xml:space="preserve">Proc Natl </w:t>
      </w:r>
      <w:proofErr w:type="spellStart"/>
      <w:r>
        <w:rPr>
          <w:rFonts w:asciiTheme="majorBidi" w:hAnsiTheme="majorBidi" w:cstheme="majorBidi"/>
          <w:bCs/>
          <w:i/>
        </w:rPr>
        <w:t>Acad</w:t>
      </w:r>
      <w:proofErr w:type="spellEnd"/>
      <w:r>
        <w:rPr>
          <w:rFonts w:asciiTheme="majorBidi" w:hAnsiTheme="majorBidi" w:cstheme="majorBidi"/>
          <w:bCs/>
          <w:i/>
        </w:rPr>
        <w:t xml:space="preserve"> Sci US</w:t>
      </w:r>
      <w:r w:rsidRPr="00BA4792">
        <w:rPr>
          <w:rFonts w:asciiTheme="majorBidi" w:hAnsiTheme="majorBidi" w:cstheme="majorBidi"/>
          <w:bCs/>
          <w:i/>
        </w:rPr>
        <w:t>A</w:t>
      </w:r>
      <w:r>
        <w:rPr>
          <w:rFonts w:asciiTheme="majorBidi" w:hAnsiTheme="majorBidi" w:cstheme="majorBidi"/>
          <w:bCs/>
          <w:i/>
        </w:rPr>
        <w:t xml:space="preserve">, </w:t>
      </w:r>
      <w:r>
        <w:rPr>
          <w:rFonts w:asciiTheme="majorBidi" w:hAnsiTheme="majorBidi" w:cstheme="majorBidi"/>
          <w:bCs/>
        </w:rPr>
        <w:t xml:space="preserve">vol. 97, pp. 4174- </w:t>
      </w:r>
      <w:r w:rsidRPr="009E2796">
        <w:rPr>
          <w:rFonts w:asciiTheme="majorBidi" w:hAnsiTheme="majorBidi" w:cstheme="majorBidi"/>
          <w:bCs/>
        </w:rPr>
        <w:t>9.</w:t>
      </w:r>
      <w:r>
        <w:rPr>
          <w:rFonts w:asciiTheme="majorBidi" w:hAnsiTheme="majorBidi" w:cstheme="majorBidi"/>
          <w:bCs/>
        </w:rPr>
        <w:t xml:space="preserve"> 2000.</w:t>
      </w:r>
    </w:p>
    <w:p w:rsidR="001124FE" w:rsidRDefault="00C947A3" w:rsidP="001124FE">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956CF6">
        <w:rPr>
          <w:rFonts w:asciiTheme="majorBidi" w:hAnsiTheme="majorBidi" w:cstheme="majorBidi"/>
          <w:bCs/>
        </w:rPr>
        <w:t xml:space="preserve">M </w:t>
      </w:r>
      <w:proofErr w:type="spellStart"/>
      <w:r w:rsidRPr="00956CF6">
        <w:rPr>
          <w:rFonts w:asciiTheme="majorBidi" w:hAnsiTheme="majorBidi" w:cstheme="majorBidi"/>
          <w:bCs/>
        </w:rPr>
        <w:t>Seto</w:t>
      </w:r>
      <w:proofErr w:type="spellEnd"/>
      <w:r w:rsidRPr="00956CF6">
        <w:rPr>
          <w:rFonts w:asciiTheme="majorBidi" w:hAnsiTheme="majorBidi" w:cstheme="majorBidi"/>
          <w:bCs/>
        </w:rPr>
        <w:t xml:space="preserve">, U Jaeger, RD Hockett, W </w:t>
      </w:r>
      <w:proofErr w:type="spellStart"/>
      <w:r w:rsidRPr="00956CF6">
        <w:rPr>
          <w:rFonts w:asciiTheme="majorBidi" w:hAnsiTheme="majorBidi" w:cstheme="majorBidi"/>
          <w:bCs/>
        </w:rPr>
        <w:t>Graninger</w:t>
      </w:r>
      <w:proofErr w:type="spellEnd"/>
      <w:r w:rsidRPr="00956CF6">
        <w:rPr>
          <w:rFonts w:asciiTheme="majorBidi" w:hAnsiTheme="majorBidi" w:cstheme="majorBidi"/>
          <w:bCs/>
        </w:rPr>
        <w:t xml:space="preserve">, S Bennett, et al. “Alternative pro- </w:t>
      </w:r>
      <w:proofErr w:type="spellStart"/>
      <w:r w:rsidRPr="00956CF6">
        <w:rPr>
          <w:rFonts w:asciiTheme="majorBidi" w:hAnsiTheme="majorBidi" w:cstheme="majorBidi"/>
          <w:bCs/>
        </w:rPr>
        <w:t>moters</w:t>
      </w:r>
      <w:proofErr w:type="spellEnd"/>
      <w:r w:rsidRPr="00956CF6">
        <w:rPr>
          <w:rFonts w:asciiTheme="majorBidi" w:hAnsiTheme="majorBidi" w:cstheme="majorBidi"/>
          <w:bCs/>
        </w:rPr>
        <w:t xml:space="preserve"> and exons, somatic mutation and deregulation of the bcl-2-Ig fusion gene in lymphoma.” The EMBO Journal, vol. 7, pp. 123 - 131. 1988.</w:t>
      </w:r>
    </w:p>
    <w:p w:rsidR="001124FE" w:rsidRPr="001124FE" w:rsidRDefault="001124FE" w:rsidP="001124FE">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1124FE">
        <w:rPr>
          <w:rFonts w:asciiTheme="majorBidi" w:hAnsiTheme="majorBidi" w:cstheme="majorBidi"/>
          <w:bCs/>
        </w:rPr>
        <w:t xml:space="preserve">TJ McDonnell, NM </w:t>
      </w:r>
      <w:proofErr w:type="spellStart"/>
      <w:r w:rsidRPr="001124FE">
        <w:rPr>
          <w:rFonts w:asciiTheme="majorBidi" w:hAnsiTheme="majorBidi" w:cstheme="majorBidi"/>
          <w:bCs/>
        </w:rPr>
        <w:t>Navone</w:t>
      </w:r>
      <w:proofErr w:type="spellEnd"/>
      <w:r w:rsidRPr="001124FE">
        <w:rPr>
          <w:rFonts w:asciiTheme="majorBidi" w:hAnsiTheme="majorBidi" w:cstheme="majorBidi"/>
          <w:bCs/>
        </w:rPr>
        <w:t xml:space="preserve">, P </w:t>
      </w:r>
      <w:proofErr w:type="spellStart"/>
      <w:r w:rsidRPr="001124FE">
        <w:rPr>
          <w:rFonts w:asciiTheme="majorBidi" w:hAnsiTheme="majorBidi" w:cstheme="majorBidi"/>
          <w:bCs/>
        </w:rPr>
        <w:t>Troncoso</w:t>
      </w:r>
      <w:proofErr w:type="spellEnd"/>
      <w:r w:rsidRPr="001124FE">
        <w:rPr>
          <w:rFonts w:asciiTheme="majorBidi" w:hAnsiTheme="majorBidi" w:cstheme="majorBidi"/>
          <w:bCs/>
        </w:rPr>
        <w:t xml:space="preserve">, et al. “Expression of bcl-2 oncoprotein and p53 protein accumulation in bone mar- row metastases of androgen independent prostate cancer.” </w:t>
      </w:r>
      <w:r w:rsidRPr="001124FE">
        <w:rPr>
          <w:rFonts w:asciiTheme="majorBidi" w:hAnsiTheme="majorBidi" w:cstheme="majorBidi"/>
          <w:bCs/>
          <w:i/>
        </w:rPr>
        <w:t>J Urol</w:t>
      </w:r>
      <w:r w:rsidRPr="001124FE">
        <w:rPr>
          <w:rFonts w:asciiTheme="majorBidi" w:hAnsiTheme="majorBidi" w:cstheme="majorBidi"/>
          <w:bCs/>
        </w:rPr>
        <w:t>., vol. 157(2), pp. 569-74. 1997.</w:t>
      </w:r>
    </w:p>
    <w:p w:rsidR="00B22926" w:rsidRDefault="00C947A3" w:rsidP="00B22926">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956CF6">
        <w:rPr>
          <w:rFonts w:asciiTheme="majorBidi" w:hAnsiTheme="majorBidi" w:cstheme="majorBidi"/>
          <w:bCs/>
        </w:rPr>
        <w:t xml:space="preserve">T </w:t>
      </w:r>
      <w:proofErr w:type="spellStart"/>
      <w:r w:rsidRPr="00956CF6">
        <w:rPr>
          <w:rFonts w:asciiTheme="majorBidi" w:hAnsiTheme="majorBidi" w:cstheme="majorBidi"/>
          <w:bCs/>
        </w:rPr>
        <w:t>Visakorpi</w:t>
      </w:r>
      <w:proofErr w:type="spellEnd"/>
      <w:r w:rsidRPr="00956CF6">
        <w:rPr>
          <w:rFonts w:asciiTheme="majorBidi" w:hAnsiTheme="majorBidi" w:cstheme="majorBidi"/>
          <w:bCs/>
        </w:rPr>
        <w:t>. “Proliferative activity determined by DNA flow cytometry and proliferating cell nuclear antigen (PCNA) immunohistochemistry as a prognostic factor in prostatic carcinoma.” The Journal of Pathology, vol. 168(1), pp. 7-13.1992.</w:t>
      </w:r>
    </w:p>
    <w:p w:rsidR="00DB7ADF" w:rsidRDefault="00B22926" w:rsidP="00DB7ADF">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B22926">
        <w:rPr>
          <w:rFonts w:asciiTheme="majorBidi" w:hAnsiTheme="majorBidi" w:cstheme="majorBidi"/>
          <w:bCs/>
        </w:rPr>
        <w:t xml:space="preserve">F </w:t>
      </w:r>
      <w:proofErr w:type="spellStart"/>
      <w:r w:rsidRPr="00B22926">
        <w:rPr>
          <w:rFonts w:asciiTheme="majorBidi" w:hAnsiTheme="majorBidi" w:cstheme="majorBidi"/>
          <w:bCs/>
        </w:rPr>
        <w:t>Hofstädter</w:t>
      </w:r>
      <w:proofErr w:type="spellEnd"/>
      <w:r w:rsidRPr="00B22926">
        <w:rPr>
          <w:rFonts w:asciiTheme="majorBidi" w:hAnsiTheme="majorBidi" w:cstheme="majorBidi"/>
          <w:bCs/>
        </w:rPr>
        <w:t xml:space="preserve">, R </w:t>
      </w:r>
      <w:proofErr w:type="spellStart"/>
      <w:r w:rsidRPr="00B22926">
        <w:rPr>
          <w:rFonts w:asciiTheme="majorBidi" w:hAnsiTheme="majorBidi" w:cstheme="majorBidi"/>
          <w:bCs/>
        </w:rPr>
        <w:t>Knüchel</w:t>
      </w:r>
      <w:proofErr w:type="spellEnd"/>
      <w:r w:rsidRPr="00B22926">
        <w:rPr>
          <w:rFonts w:asciiTheme="majorBidi" w:hAnsiTheme="majorBidi" w:cstheme="majorBidi"/>
          <w:bCs/>
        </w:rPr>
        <w:t xml:space="preserve">, J </w:t>
      </w:r>
      <w:proofErr w:type="spellStart"/>
      <w:r w:rsidRPr="00B22926">
        <w:rPr>
          <w:rFonts w:asciiTheme="majorBidi" w:hAnsiTheme="majorBidi" w:cstheme="majorBidi"/>
          <w:bCs/>
        </w:rPr>
        <w:t>Rüschoff</w:t>
      </w:r>
      <w:proofErr w:type="spellEnd"/>
      <w:r w:rsidRPr="00B22926">
        <w:rPr>
          <w:rFonts w:asciiTheme="majorBidi" w:hAnsiTheme="majorBidi" w:cstheme="majorBidi"/>
          <w:bCs/>
        </w:rPr>
        <w:t xml:space="preserve">. “Cell proliferation assessment in oncology.” </w:t>
      </w:r>
      <w:proofErr w:type="spellStart"/>
      <w:r w:rsidRPr="00B22926">
        <w:rPr>
          <w:rFonts w:asciiTheme="majorBidi" w:hAnsiTheme="majorBidi" w:cstheme="majorBidi"/>
          <w:bCs/>
          <w:i/>
        </w:rPr>
        <w:t>Virchows</w:t>
      </w:r>
      <w:proofErr w:type="spellEnd"/>
      <w:r w:rsidRPr="00B22926">
        <w:rPr>
          <w:rFonts w:asciiTheme="majorBidi" w:hAnsiTheme="majorBidi" w:cstheme="majorBidi"/>
          <w:bCs/>
          <w:i/>
        </w:rPr>
        <w:t xml:space="preserve"> Arch.</w:t>
      </w:r>
      <w:r w:rsidRPr="00B22926">
        <w:rPr>
          <w:rFonts w:asciiTheme="majorBidi" w:hAnsiTheme="majorBidi" w:cstheme="majorBidi"/>
          <w:bCs/>
        </w:rPr>
        <w:t xml:space="preserve">, vol. </w:t>
      </w:r>
      <w:r w:rsidRPr="00B22926">
        <w:rPr>
          <w:rFonts w:asciiTheme="majorBidi" w:hAnsiTheme="majorBidi" w:cstheme="majorBidi"/>
          <w:bCs/>
        </w:rPr>
        <w:lastRenderedPageBreak/>
        <w:t>427(3), pp. 323-41. 1995.</w:t>
      </w:r>
    </w:p>
    <w:p w:rsidR="00DB7ADF" w:rsidRDefault="00DB7ADF" w:rsidP="00DB7ADF">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DB7ADF">
        <w:rPr>
          <w:rFonts w:asciiTheme="majorBidi" w:hAnsiTheme="majorBidi" w:cstheme="majorBidi"/>
          <w:bCs/>
        </w:rPr>
        <w:t xml:space="preserve">DF Gleason. “Classification of prostatic carcinomas.” </w:t>
      </w:r>
      <w:r w:rsidRPr="00DB7ADF">
        <w:rPr>
          <w:rFonts w:asciiTheme="majorBidi" w:hAnsiTheme="majorBidi" w:cstheme="majorBidi"/>
          <w:bCs/>
          <w:i/>
        </w:rPr>
        <w:t xml:space="preserve">Cancer </w:t>
      </w:r>
      <w:proofErr w:type="spellStart"/>
      <w:r w:rsidRPr="00DB7ADF">
        <w:rPr>
          <w:rFonts w:asciiTheme="majorBidi" w:hAnsiTheme="majorBidi" w:cstheme="majorBidi"/>
          <w:bCs/>
          <w:i/>
        </w:rPr>
        <w:t>Chemother</w:t>
      </w:r>
      <w:proofErr w:type="spellEnd"/>
      <w:r w:rsidRPr="00DB7ADF">
        <w:rPr>
          <w:rFonts w:asciiTheme="majorBidi" w:hAnsiTheme="majorBidi" w:cstheme="majorBidi"/>
          <w:bCs/>
          <w:i/>
        </w:rPr>
        <w:t xml:space="preserve"> Rep</w:t>
      </w:r>
      <w:r w:rsidRPr="00DB7ADF">
        <w:rPr>
          <w:rFonts w:asciiTheme="majorBidi" w:hAnsiTheme="majorBidi" w:cstheme="majorBidi"/>
          <w:bCs/>
        </w:rPr>
        <w:t xml:space="preserve">, vol. 50(3), pp. 125-8. 1996. </w:t>
      </w:r>
    </w:p>
    <w:p w:rsidR="00AD6827" w:rsidRDefault="00DB7ADF" w:rsidP="00AD6827">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DB7ADF">
        <w:rPr>
          <w:rFonts w:asciiTheme="majorBidi" w:hAnsiTheme="majorBidi" w:cstheme="majorBidi"/>
          <w:bCs/>
        </w:rPr>
        <w:t xml:space="preserve">DF Gleason, GT Mellinger. “Prediction of prognosis for prostatic adeno- carcinoma by combined histological grading and clinical staging.” </w:t>
      </w:r>
      <w:r w:rsidRPr="00DB7ADF">
        <w:rPr>
          <w:rFonts w:asciiTheme="majorBidi" w:hAnsiTheme="majorBidi" w:cstheme="majorBidi"/>
          <w:bCs/>
          <w:i/>
        </w:rPr>
        <w:t xml:space="preserve">J </w:t>
      </w:r>
      <w:proofErr w:type="spellStart"/>
      <w:r w:rsidRPr="00DB7ADF">
        <w:rPr>
          <w:rFonts w:asciiTheme="majorBidi" w:hAnsiTheme="majorBidi" w:cstheme="majorBidi"/>
          <w:bCs/>
          <w:i/>
        </w:rPr>
        <w:t>Urol</w:t>
      </w:r>
      <w:proofErr w:type="spellEnd"/>
      <w:r w:rsidRPr="00DB7ADF">
        <w:rPr>
          <w:rFonts w:asciiTheme="majorBidi" w:hAnsiTheme="majorBidi" w:cstheme="majorBidi"/>
          <w:bCs/>
        </w:rPr>
        <w:t>, vol. 111(1), pp. 58-64. 1974.</w:t>
      </w:r>
    </w:p>
    <w:p w:rsidR="000D38FA" w:rsidRDefault="00AD6827" w:rsidP="000D38FA">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AD6827">
        <w:rPr>
          <w:rFonts w:asciiTheme="majorBidi" w:hAnsiTheme="majorBidi" w:cstheme="majorBidi"/>
          <w:bCs/>
        </w:rPr>
        <w:t xml:space="preserve">T </w:t>
      </w:r>
      <w:proofErr w:type="spellStart"/>
      <w:r w:rsidRPr="00AD6827">
        <w:rPr>
          <w:rFonts w:asciiTheme="majorBidi" w:hAnsiTheme="majorBidi" w:cstheme="majorBidi"/>
          <w:bCs/>
        </w:rPr>
        <w:t>Gevaert</w:t>
      </w:r>
      <w:proofErr w:type="spellEnd"/>
      <w:r w:rsidRPr="00AD6827">
        <w:rPr>
          <w:rFonts w:asciiTheme="majorBidi" w:hAnsiTheme="majorBidi" w:cstheme="majorBidi"/>
          <w:bCs/>
        </w:rPr>
        <w:t xml:space="preserve">. </w:t>
      </w:r>
      <w:r w:rsidRPr="00AD6827">
        <w:rPr>
          <w:rFonts w:asciiTheme="majorBidi" w:hAnsiTheme="majorBidi" w:cstheme="majorBidi"/>
          <w:bCs/>
          <w:i/>
        </w:rPr>
        <w:t xml:space="preserve">Belgian Journal of Medical </w:t>
      </w:r>
      <w:proofErr w:type="spellStart"/>
      <w:proofErr w:type="gramStart"/>
      <w:r w:rsidRPr="00AD6827">
        <w:rPr>
          <w:rFonts w:asciiTheme="majorBidi" w:hAnsiTheme="majorBidi" w:cstheme="majorBidi"/>
          <w:bCs/>
          <w:i/>
        </w:rPr>
        <w:t>Oncolog</w:t>
      </w:r>
      <w:proofErr w:type="spellEnd"/>
      <w:r w:rsidRPr="00AD6827">
        <w:rPr>
          <w:rFonts w:asciiTheme="majorBidi" w:hAnsiTheme="majorBidi" w:cstheme="majorBidi"/>
          <w:bCs/>
          <w:i/>
        </w:rPr>
        <w:t>,</w:t>
      </w:r>
      <w:r w:rsidRPr="00AD6827">
        <w:rPr>
          <w:rFonts w:asciiTheme="majorBidi" w:hAnsiTheme="majorBidi" w:cstheme="majorBidi"/>
          <w:bCs/>
        </w:rPr>
        <w:t>.</w:t>
      </w:r>
      <w:proofErr w:type="gramEnd"/>
      <w:r w:rsidRPr="00AD6827">
        <w:rPr>
          <w:rFonts w:asciiTheme="majorBidi" w:hAnsiTheme="majorBidi" w:cstheme="majorBidi"/>
          <w:bCs/>
        </w:rPr>
        <w:t xml:space="preserve"> vol. 6(2). 2012.</w:t>
      </w:r>
    </w:p>
    <w:p w:rsidR="000D38FA" w:rsidRPr="000D38FA" w:rsidRDefault="000D38FA" w:rsidP="000D38FA">
      <w:pPr>
        <w:pStyle w:val="Els-body-text"/>
        <w:widowControl w:val="0"/>
        <w:numPr>
          <w:ilvl w:val="0"/>
          <w:numId w:val="5"/>
        </w:numPr>
        <w:spacing w:before="100" w:beforeAutospacing="1" w:after="100" w:afterAutospacing="1" w:line="360" w:lineRule="auto"/>
        <w:ind w:left="360"/>
        <w:rPr>
          <w:rFonts w:asciiTheme="majorBidi" w:hAnsiTheme="majorBidi" w:cstheme="majorBidi"/>
          <w:b/>
          <w:bCs/>
        </w:rPr>
      </w:pPr>
      <w:r w:rsidRPr="000D38FA">
        <w:rPr>
          <w:rFonts w:asciiTheme="majorBidi" w:hAnsiTheme="majorBidi" w:cstheme="majorBidi"/>
          <w:bCs/>
        </w:rPr>
        <w:t xml:space="preserve">S </w:t>
      </w:r>
      <w:proofErr w:type="spellStart"/>
      <w:r w:rsidRPr="000D38FA">
        <w:rPr>
          <w:rFonts w:asciiTheme="majorBidi" w:hAnsiTheme="majorBidi" w:cstheme="majorBidi"/>
          <w:bCs/>
        </w:rPr>
        <w:t>Syukur</w:t>
      </w:r>
      <w:proofErr w:type="spellEnd"/>
      <w:r w:rsidRPr="000D38FA">
        <w:rPr>
          <w:rFonts w:asciiTheme="majorBidi" w:hAnsiTheme="majorBidi" w:cstheme="majorBidi"/>
          <w:bCs/>
        </w:rPr>
        <w:t xml:space="preserve">, </w:t>
      </w:r>
      <w:proofErr w:type="spellStart"/>
      <w:r w:rsidRPr="000D38FA">
        <w:rPr>
          <w:rFonts w:asciiTheme="majorBidi" w:hAnsiTheme="majorBidi" w:cstheme="majorBidi"/>
          <w:bCs/>
        </w:rPr>
        <w:t>Syafrizayanti</w:t>
      </w:r>
      <w:proofErr w:type="spellEnd"/>
      <w:r w:rsidRPr="000D38FA">
        <w:rPr>
          <w:rFonts w:asciiTheme="majorBidi" w:hAnsiTheme="majorBidi" w:cstheme="majorBidi"/>
          <w:bCs/>
        </w:rPr>
        <w:t xml:space="preserve">, S </w:t>
      </w:r>
      <w:proofErr w:type="spellStart"/>
      <w:r w:rsidRPr="000D38FA">
        <w:rPr>
          <w:rFonts w:asciiTheme="majorBidi" w:hAnsiTheme="majorBidi" w:cstheme="majorBidi"/>
          <w:bCs/>
        </w:rPr>
        <w:t>Zulaiha</w:t>
      </w:r>
      <w:proofErr w:type="spellEnd"/>
      <w:r w:rsidRPr="000D38FA">
        <w:rPr>
          <w:rFonts w:asciiTheme="majorBidi" w:hAnsiTheme="majorBidi" w:cstheme="majorBidi"/>
          <w:bCs/>
        </w:rPr>
        <w:t xml:space="preserve">. “Virgin coconut oil increase HDL, lower triglyceride and fatty acids profile in blood Serum of </w:t>
      </w:r>
      <w:proofErr w:type="spellStart"/>
      <w:r w:rsidRPr="000D38FA">
        <w:rPr>
          <w:rFonts w:asciiTheme="majorBidi" w:hAnsiTheme="majorBidi" w:cstheme="majorBidi"/>
          <w:bCs/>
        </w:rPr>
        <w:t>mus</w:t>
      </w:r>
      <w:proofErr w:type="spellEnd"/>
      <w:r w:rsidRPr="000D38FA">
        <w:rPr>
          <w:rFonts w:asciiTheme="majorBidi" w:hAnsiTheme="majorBidi" w:cstheme="majorBidi"/>
          <w:bCs/>
        </w:rPr>
        <w:t xml:space="preserve"> musculus.” The Research Journal of Chemical and Pharmaceutical, vol. 8(2), pp. 1077. 2017.</w:t>
      </w:r>
    </w:p>
    <w:p w:rsidR="000D38FA" w:rsidRDefault="000D38FA" w:rsidP="000D38FA">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956CF6">
        <w:rPr>
          <w:rFonts w:asciiTheme="majorBidi" w:hAnsiTheme="majorBidi" w:cstheme="majorBidi"/>
          <w:bCs/>
        </w:rPr>
        <w:t xml:space="preserve">HD Van Guilder, KE </w:t>
      </w:r>
      <w:proofErr w:type="spellStart"/>
      <w:r w:rsidRPr="00956CF6">
        <w:rPr>
          <w:rFonts w:asciiTheme="majorBidi" w:hAnsiTheme="majorBidi" w:cstheme="majorBidi"/>
          <w:bCs/>
        </w:rPr>
        <w:t>Vrana</w:t>
      </w:r>
      <w:proofErr w:type="spellEnd"/>
      <w:r w:rsidRPr="00956CF6">
        <w:rPr>
          <w:rFonts w:asciiTheme="majorBidi" w:hAnsiTheme="majorBidi" w:cstheme="majorBidi"/>
          <w:bCs/>
        </w:rPr>
        <w:t>, WM Freeman. “Twenty-five years of quantitative PCR for gene expression analysis.” Biotechniques, vol. 44(5), pp. 619 – 626 .2008.</w:t>
      </w:r>
    </w:p>
    <w:p w:rsidR="006230E3" w:rsidRPr="000D38FA" w:rsidRDefault="000D38FA" w:rsidP="000D38FA">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0D38FA">
        <w:rPr>
          <w:rFonts w:asciiTheme="majorBidi" w:hAnsiTheme="majorBidi" w:cstheme="majorBidi"/>
          <w:bCs/>
        </w:rPr>
        <w:t xml:space="preserve">HL </w:t>
      </w:r>
      <w:proofErr w:type="spellStart"/>
      <w:r w:rsidRPr="000D38FA">
        <w:rPr>
          <w:rFonts w:asciiTheme="majorBidi" w:hAnsiTheme="majorBidi" w:cstheme="majorBidi"/>
          <w:bCs/>
        </w:rPr>
        <w:t>Tobing</w:t>
      </w:r>
      <w:proofErr w:type="spellEnd"/>
      <w:r w:rsidRPr="000D38FA">
        <w:rPr>
          <w:rFonts w:asciiTheme="majorBidi" w:hAnsiTheme="majorBidi" w:cstheme="majorBidi"/>
          <w:bCs/>
        </w:rPr>
        <w:t xml:space="preserve">, S </w:t>
      </w:r>
      <w:proofErr w:type="spellStart"/>
      <w:r w:rsidRPr="000D38FA">
        <w:rPr>
          <w:rFonts w:asciiTheme="majorBidi" w:hAnsiTheme="majorBidi" w:cstheme="majorBidi"/>
          <w:bCs/>
        </w:rPr>
        <w:t>Syukur</w:t>
      </w:r>
      <w:proofErr w:type="spellEnd"/>
      <w:r w:rsidRPr="000D38FA">
        <w:rPr>
          <w:rFonts w:asciiTheme="majorBidi" w:hAnsiTheme="majorBidi" w:cstheme="majorBidi"/>
          <w:bCs/>
        </w:rPr>
        <w:t xml:space="preserve">, E </w:t>
      </w:r>
      <w:proofErr w:type="spellStart"/>
      <w:r w:rsidRPr="000D38FA">
        <w:rPr>
          <w:rFonts w:asciiTheme="majorBidi" w:hAnsiTheme="majorBidi" w:cstheme="majorBidi"/>
          <w:bCs/>
        </w:rPr>
        <w:t>Purwati</w:t>
      </w:r>
      <w:proofErr w:type="spellEnd"/>
      <w:r w:rsidRPr="000D38FA">
        <w:rPr>
          <w:rFonts w:asciiTheme="majorBidi" w:hAnsiTheme="majorBidi" w:cstheme="majorBidi"/>
          <w:bCs/>
        </w:rPr>
        <w:t xml:space="preserve">, R </w:t>
      </w:r>
      <w:proofErr w:type="spellStart"/>
      <w:r w:rsidRPr="000D38FA">
        <w:rPr>
          <w:rFonts w:asciiTheme="majorBidi" w:hAnsiTheme="majorBidi" w:cstheme="majorBidi"/>
          <w:bCs/>
        </w:rPr>
        <w:t>Zein</w:t>
      </w:r>
      <w:proofErr w:type="spellEnd"/>
      <w:r w:rsidRPr="000D38FA">
        <w:rPr>
          <w:rFonts w:asciiTheme="majorBidi" w:hAnsiTheme="majorBidi" w:cstheme="majorBidi"/>
          <w:bCs/>
        </w:rPr>
        <w:t xml:space="preserve">, R </w:t>
      </w:r>
      <w:proofErr w:type="spellStart"/>
      <w:r w:rsidRPr="000D38FA">
        <w:rPr>
          <w:rFonts w:asciiTheme="majorBidi" w:hAnsiTheme="majorBidi" w:cstheme="majorBidi"/>
          <w:bCs/>
        </w:rPr>
        <w:t>Muzahar</w:t>
      </w:r>
      <w:proofErr w:type="spellEnd"/>
      <w:r w:rsidRPr="000D38FA">
        <w:rPr>
          <w:rFonts w:asciiTheme="majorBidi" w:hAnsiTheme="majorBidi" w:cstheme="majorBidi"/>
          <w:bCs/>
        </w:rPr>
        <w:t>, et al. “Comparison of SD bio line malaria Ag-</w:t>
      </w:r>
      <w:proofErr w:type="spellStart"/>
      <w:r w:rsidRPr="000D38FA">
        <w:rPr>
          <w:rFonts w:asciiTheme="majorBidi" w:hAnsiTheme="majorBidi" w:cstheme="majorBidi"/>
          <w:bCs/>
        </w:rPr>
        <w:t>Pf</w:t>
      </w:r>
      <w:proofErr w:type="spellEnd"/>
      <w:r w:rsidRPr="000D38FA">
        <w:rPr>
          <w:rFonts w:asciiTheme="majorBidi" w:hAnsiTheme="majorBidi" w:cstheme="majorBidi"/>
          <w:bCs/>
        </w:rPr>
        <w:t xml:space="preserve">/pan test with microscopic examination for detection of </w:t>
      </w:r>
      <w:proofErr w:type="spellStart"/>
      <w:proofErr w:type="gramStart"/>
      <w:r w:rsidRPr="000D38FA">
        <w:rPr>
          <w:rFonts w:asciiTheme="majorBidi" w:hAnsiTheme="majorBidi" w:cstheme="majorBidi"/>
          <w:bCs/>
        </w:rPr>
        <w:t>P.Falciparum</w:t>
      </w:r>
      <w:proofErr w:type="spellEnd"/>
      <w:proofErr w:type="gramEnd"/>
      <w:r w:rsidRPr="000D38FA">
        <w:rPr>
          <w:rFonts w:asciiTheme="majorBidi" w:hAnsiTheme="majorBidi" w:cstheme="majorBidi"/>
          <w:bCs/>
        </w:rPr>
        <w:t xml:space="preserve">, </w:t>
      </w:r>
      <w:proofErr w:type="spellStart"/>
      <w:r w:rsidRPr="000D38FA">
        <w:rPr>
          <w:rFonts w:asciiTheme="majorBidi" w:hAnsiTheme="majorBidi" w:cstheme="majorBidi"/>
          <w:bCs/>
        </w:rPr>
        <w:t>P.Vivax</w:t>
      </w:r>
      <w:proofErr w:type="spellEnd"/>
      <w:r w:rsidRPr="000D38FA">
        <w:rPr>
          <w:rFonts w:asciiTheme="majorBidi" w:hAnsiTheme="majorBidi" w:cstheme="majorBidi"/>
          <w:bCs/>
        </w:rPr>
        <w:t xml:space="preserve"> and Mixed infection in South </w:t>
      </w:r>
      <w:proofErr w:type="spellStart"/>
      <w:r w:rsidRPr="000D38FA">
        <w:rPr>
          <w:rFonts w:asciiTheme="majorBidi" w:hAnsiTheme="majorBidi" w:cstheme="majorBidi"/>
          <w:bCs/>
        </w:rPr>
        <w:t>Nias</w:t>
      </w:r>
      <w:proofErr w:type="spellEnd"/>
      <w:r w:rsidRPr="000D38FA">
        <w:rPr>
          <w:rFonts w:asciiTheme="majorBidi" w:hAnsiTheme="majorBidi" w:cstheme="majorBidi"/>
          <w:bCs/>
        </w:rPr>
        <w:t>, North Sumatera, Indonesia.” The Research Journal of Pharmaceutical, Biological and Chemical Sciences, vol. 6 (3), pp. 917. 2015.</w:t>
      </w:r>
    </w:p>
    <w:p w:rsidR="006230E3" w:rsidRPr="006230E3" w:rsidRDefault="006230E3" w:rsidP="006230E3">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6230E3">
        <w:rPr>
          <w:rFonts w:asciiTheme="majorBidi" w:hAnsiTheme="majorBidi" w:cstheme="majorBidi"/>
          <w:bCs/>
        </w:rPr>
        <w:t xml:space="preserve">A </w:t>
      </w:r>
      <w:proofErr w:type="spellStart"/>
      <w:r w:rsidRPr="006230E3">
        <w:rPr>
          <w:rFonts w:asciiTheme="majorBidi" w:hAnsiTheme="majorBidi" w:cstheme="majorBidi"/>
          <w:bCs/>
        </w:rPr>
        <w:t>Chetcuti</w:t>
      </w:r>
      <w:proofErr w:type="spellEnd"/>
      <w:r w:rsidRPr="006230E3">
        <w:rPr>
          <w:rFonts w:asciiTheme="majorBidi" w:hAnsiTheme="majorBidi" w:cstheme="majorBidi"/>
          <w:bCs/>
        </w:rPr>
        <w:t xml:space="preserve">, S </w:t>
      </w:r>
      <w:proofErr w:type="spellStart"/>
      <w:r w:rsidRPr="006230E3">
        <w:rPr>
          <w:rFonts w:asciiTheme="majorBidi" w:hAnsiTheme="majorBidi" w:cstheme="majorBidi"/>
          <w:bCs/>
        </w:rPr>
        <w:t>Margan</w:t>
      </w:r>
      <w:proofErr w:type="spellEnd"/>
      <w:r w:rsidRPr="006230E3">
        <w:rPr>
          <w:rFonts w:asciiTheme="majorBidi" w:hAnsiTheme="majorBidi" w:cstheme="majorBidi"/>
          <w:bCs/>
        </w:rPr>
        <w:t xml:space="preserve">, S Mann, P Russell, D </w:t>
      </w:r>
      <w:proofErr w:type="spellStart"/>
      <w:r w:rsidRPr="006230E3">
        <w:rPr>
          <w:rFonts w:asciiTheme="majorBidi" w:hAnsiTheme="majorBidi" w:cstheme="majorBidi"/>
          <w:bCs/>
        </w:rPr>
        <w:t>Handelsman</w:t>
      </w:r>
      <w:proofErr w:type="spellEnd"/>
      <w:r w:rsidRPr="006230E3">
        <w:rPr>
          <w:rFonts w:asciiTheme="majorBidi" w:hAnsiTheme="majorBidi" w:cstheme="majorBidi"/>
          <w:bCs/>
        </w:rPr>
        <w:t xml:space="preserve">, J Rogers, Q Dong. Identification of differentially expressed genes in organ-confined prostate cancer by gene expression array. </w:t>
      </w:r>
      <w:r w:rsidRPr="006230E3">
        <w:rPr>
          <w:rFonts w:asciiTheme="majorBidi" w:hAnsiTheme="majorBidi" w:cstheme="majorBidi"/>
          <w:bCs/>
          <w:i/>
        </w:rPr>
        <w:t>Prostate,</w:t>
      </w:r>
      <w:r w:rsidRPr="006230E3">
        <w:rPr>
          <w:rFonts w:asciiTheme="majorBidi" w:hAnsiTheme="majorBidi" w:cstheme="majorBidi"/>
          <w:bCs/>
        </w:rPr>
        <w:t xml:space="preserve"> vol. 47(2), pp. 132–40. 2001. </w:t>
      </w:r>
    </w:p>
    <w:p w:rsidR="006230E3" w:rsidRDefault="006230E3" w:rsidP="00B74FCB">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Pr>
          <w:rFonts w:asciiTheme="majorBidi" w:hAnsiTheme="majorBidi" w:cstheme="majorBidi"/>
          <w:bCs/>
        </w:rPr>
        <w:t>Y Ding</w:t>
      </w:r>
      <w:r w:rsidRPr="009E2796">
        <w:rPr>
          <w:rFonts w:asciiTheme="majorBidi" w:hAnsiTheme="majorBidi" w:cstheme="majorBidi"/>
          <w:bCs/>
        </w:rPr>
        <w:t>,</w:t>
      </w:r>
      <w:r>
        <w:rPr>
          <w:rFonts w:asciiTheme="majorBidi" w:hAnsiTheme="majorBidi" w:cstheme="majorBidi"/>
          <w:bCs/>
        </w:rPr>
        <w:t xml:space="preserve"> L Xu</w:t>
      </w:r>
      <w:r w:rsidRPr="009E2796">
        <w:rPr>
          <w:rFonts w:asciiTheme="majorBidi" w:hAnsiTheme="majorBidi" w:cstheme="majorBidi"/>
          <w:bCs/>
        </w:rPr>
        <w:t xml:space="preserve">, </w:t>
      </w:r>
      <w:r>
        <w:rPr>
          <w:rFonts w:asciiTheme="majorBidi" w:hAnsiTheme="majorBidi" w:cstheme="majorBidi"/>
          <w:bCs/>
        </w:rPr>
        <w:t>S Chen</w:t>
      </w:r>
      <w:r w:rsidRPr="009E2796">
        <w:rPr>
          <w:rFonts w:asciiTheme="majorBidi" w:hAnsiTheme="majorBidi" w:cstheme="majorBidi"/>
          <w:bCs/>
        </w:rPr>
        <w:t>,</w:t>
      </w:r>
      <w:r>
        <w:rPr>
          <w:rFonts w:asciiTheme="majorBidi" w:hAnsiTheme="majorBidi" w:cstheme="majorBidi"/>
          <w:bCs/>
        </w:rPr>
        <w:t xml:space="preserve"> BD </w:t>
      </w:r>
      <w:proofErr w:type="spellStart"/>
      <w:r>
        <w:rPr>
          <w:rFonts w:asciiTheme="majorBidi" w:hAnsiTheme="majorBidi" w:cstheme="majorBidi"/>
          <w:bCs/>
        </w:rPr>
        <w:t>Jovanovic</w:t>
      </w:r>
      <w:proofErr w:type="spellEnd"/>
      <w:r w:rsidRPr="009E2796">
        <w:rPr>
          <w:rFonts w:asciiTheme="majorBidi" w:hAnsiTheme="majorBidi" w:cstheme="majorBidi"/>
          <w:bCs/>
        </w:rPr>
        <w:t xml:space="preserve">, </w:t>
      </w:r>
      <w:r>
        <w:rPr>
          <w:rFonts w:asciiTheme="majorBidi" w:hAnsiTheme="majorBidi" w:cstheme="majorBidi"/>
          <w:bCs/>
        </w:rPr>
        <w:t xml:space="preserve">IB </w:t>
      </w:r>
      <w:proofErr w:type="spellStart"/>
      <w:r>
        <w:rPr>
          <w:rFonts w:asciiTheme="majorBidi" w:hAnsiTheme="majorBidi" w:cstheme="majorBidi"/>
          <w:bCs/>
        </w:rPr>
        <w:t>Helenowski</w:t>
      </w:r>
      <w:proofErr w:type="spellEnd"/>
      <w:r w:rsidRPr="009E2796">
        <w:rPr>
          <w:rFonts w:asciiTheme="majorBidi" w:hAnsiTheme="majorBidi" w:cstheme="majorBidi"/>
          <w:bCs/>
        </w:rPr>
        <w:t>,</w:t>
      </w:r>
      <w:r>
        <w:rPr>
          <w:rFonts w:asciiTheme="majorBidi" w:hAnsiTheme="majorBidi" w:cstheme="majorBidi"/>
          <w:bCs/>
        </w:rPr>
        <w:t xml:space="preserve"> DL Kelly</w:t>
      </w:r>
      <w:r w:rsidRPr="009E2796">
        <w:rPr>
          <w:rFonts w:asciiTheme="majorBidi" w:hAnsiTheme="majorBidi" w:cstheme="majorBidi"/>
          <w:bCs/>
        </w:rPr>
        <w:t xml:space="preserve">, </w:t>
      </w:r>
      <w:r>
        <w:rPr>
          <w:rFonts w:asciiTheme="majorBidi" w:hAnsiTheme="majorBidi" w:cstheme="majorBidi"/>
          <w:bCs/>
        </w:rPr>
        <w:t xml:space="preserve">WJ </w:t>
      </w:r>
      <w:proofErr w:type="spellStart"/>
      <w:r>
        <w:rPr>
          <w:rFonts w:asciiTheme="majorBidi" w:hAnsiTheme="majorBidi" w:cstheme="majorBidi"/>
          <w:bCs/>
        </w:rPr>
        <w:t>Catalona</w:t>
      </w:r>
      <w:proofErr w:type="spellEnd"/>
      <w:r w:rsidRPr="009E2796">
        <w:rPr>
          <w:rFonts w:asciiTheme="majorBidi" w:hAnsiTheme="majorBidi" w:cstheme="majorBidi"/>
          <w:bCs/>
        </w:rPr>
        <w:t xml:space="preserve">, </w:t>
      </w:r>
      <w:r>
        <w:rPr>
          <w:rFonts w:asciiTheme="majorBidi" w:hAnsiTheme="majorBidi" w:cstheme="majorBidi"/>
          <w:bCs/>
        </w:rPr>
        <w:t>XJ Yang</w:t>
      </w:r>
      <w:r w:rsidRPr="009E2796">
        <w:rPr>
          <w:rFonts w:asciiTheme="majorBidi" w:hAnsiTheme="majorBidi" w:cstheme="majorBidi"/>
          <w:bCs/>
        </w:rPr>
        <w:t>,</w:t>
      </w:r>
      <w:r>
        <w:rPr>
          <w:rFonts w:asciiTheme="majorBidi" w:hAnsiTheme="majorBidi" w:cstheme="majorBidi"/>
          <w:bCs/>
        </w:rPr>
        <w:t xml:space="preserve"> M Pins</w:t>
      </w:r>
      <w:r w:rsidRPr="009E2796">
        <w:rPr>
          <w:rFonts w:asciiTheme="majorBidi" w:hAnsiTheme="majorBidi" w:cstheme="majorBidi"/>
          <w:bCs/>
        </w:rPr>
        <w:t xml:space="preserve">, </w:t>
      </w:r>
      <w:r>
        <w:rPr>
          <w:rFonts w:asciiTheme="majorBidi" w:hAnsiTheme="majorBidi" w:cstheme="majorBidi"/>
          <w:bCs/>
        </w:rPr>
        <w:t xml:space="preserve">V </w:t>
      </w:r>
      <w:proofErr w:type="spellStart"/>
      <w:r w:rsidRPr="009E2796">
        <w:rPr>
          <w:rFonts w:asciiTheme="majorBidi" w:hAnsiTheme="majorBidi" w:cstheme="majorBidi"/>
          <w:bCs/>
        </w:rPr>
        <w:t>Ananthanarayanan</w:t>
      </w:r>
      <w:proofErr w:type="spellEnd"/>
      <w:r w:rsidRPr="009E2796">
        <w:rPr>
          <w:rFonts w:asciiTheme="majorBidi" w:hAnsiTheme="majorBidi" w:cstheme="majorBidi"/>
          <w:bCs/>
        </w:rPr>
        <w:t>, RC</w:t>
      </w:r>
      <w:r>
        <w:rPr>
          <w:rFonts w:asciiTheme="majorBidi" w:hAnsiTheme="majorBidi" w:cstheme="majorBidi"/>
          <w:bCs/>
        </w:rPr>
        <w:t xml:space="preserve"> </w:t>
      </w:r>
      <w:r w:rsidRPr="009E2796">
        <w:rPr>
          <w:rFonts w:asciiTheme="majorBidi" w:hAnsiTheme="majorBidi" w:cstheme="majorBidi"/>
          <w:bCs/>
        </w:rPr>
        <w:t>Bergan</w:t>
      </w:r>
      <w:r>
        <w:rPr>
          <w:rFonts w:asciiTheme="majorBidi" w:hAnsiTheme="majorBidi" w:cstheme="majorBidi"/>
          <w:bCs/>
        </w:rPr>
        <w:t>.</w:t>
      </w:r>
      <w:r w:rsidRPr="009E2796">
        <w:rPr>
          <w:rFonts w:asciiTheme="majorBidi" w:hAnsiTheme="majorBidi" w:cstheme="majorBidi"/>
          <w:bCs/>
        </w:rPr>
        <w:t xml:space="preserve"> </w:t>
      </w:r>
      <w:r>
        <w:rPr>
          <w:rFonts w:asciiTheme="majorBidi" w:hAnsiTheme="majorBidi" w:cstheme="majorBidi"/>
          <w:bCs/>
        </w:rPr>
        <w:t>“Characteriza</w:t>
      </w:r>
      <w:r w:rsidRPr="009E2796">
        <w:rPr>
          <w:rFonts w:asciiTheme="majorBidi" w:hAnsiTheme="majorBidi" w:cstheme="majorBidi"/>
          <w:bCs/>
        </w:rPr>
        <w:t>tion of a method for profiling gene expression in cells recovered from intact human prostate tissue using RNA linear amplification.</w:t>
      </w:r>
      <w:r>
        <w:rPr>
          <w:rFonts w:asciiTheme="majorBidi" w:hAnsiTheme="majorBidi" w:cstheme="majorBidi"/>
          <w:bCs/>
        </w:rPr>
        <w:t>”</w:t>
      </w:r>
      <w:r w:rsidRPr="009E2796">
        <w:rPr>
          <w:rFonts w:asciiTheme="majorBidi" w:hAnsiTheme="majorBidi" w:cstheme="majorBidi"/>
          <w:bCs/>
        </w:rPr>
        <w:t xml:space="preserve"> </w:t>
      </w:r>
      <w:r w:rsidRPr="00FA3D7E">
        <w:rPr>
          <w:rFonts w:asciiTheme="majorBidi" w:hAnsiTheme="majorBidi" w:cstheme="majorBidi"/>
          <w:bCs/>
          <w:i/>
        </w:rPr>
        <w:t>Prostate Cancer Prostatic Dis</w:t>
      </w:r>
      <w:r>
        <w:rPr>
          <w:rFonts w:asciiTheme="majorBidi" w:hAnsiTheme="majorBidi" w:cstheme="majorBidi"/>
          <w:bCs/>
          <w:i/>
        </w:rPr>
        <w:t xml:space="preserve">, </w:t>
      </w:r>
      <w:r>
        <w:rPr>
          <w:rFonts w:asciiTheme="majorBidi" w:hAnsiTheme="majorBidi" w:cstheme="majorBidi"/>
          <w:bCs/>
        </w:rPr>
        <w:t>vol. 9(4), pp. 379–</w:t>
      </w:r>
      <w:r w:rsidRPr="009E2796">
        <w:rPr>
          <w:rFonts w:asciiTheme="majorBidi" w:hAnsiTheme="majorBidi" w:cstheme="majorBidi"/>
          <w:bCs/>
        </w:rPr>
        <w:t>91</w:t>
      </w:r>
      <w:r>
        <w:rPr>
          <w:rFonts w:asciiTheme="majorBidi" w:hAnsiTheme="majorBidi" w:cstheme="majorBidi"/>
          <w:bCs/>
        </w:rPr>
        <w:t>.</w:t>
      </w:r>
      <w:r w:rsidRPr="009E2796">
        <w:rPr>
          <w:rFonts w:asciiTheme="majorBidi" w:hAnsiTheme="majorBidi" w:cstheme="majorBidi"/>
          <w:bCs/>
        </w:rPr>
        <w:t xml:space="preserve"> </w:t>
      </w:r>
      <w:r>
        <w:rPr>
          <w:rFonts w:asciiTheme="majorBidi" w:hAnsiTheme="majorBidi" w:cstheme="majorBidi"/>
          <w:bCs/>
        </w:rPr>
        <w:t>2006.</w:t>
      </w:r>
    </w:p>
    <w:p w:rsidR="00432C25" w:rsidRDefault="006230E3" w:rsidP="00432C25">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Pr>
          <w:rFonts w:asciiTheme="majorBidi" w:hAnsiTheme="majorBidi" w:cstheme="majorBidi"/>
          <w:bCs/>
        </w:rPr>
        <w:t xml:space="preserve">M </w:t>
      </w:r>
      <w:proofErr w:type="spellStart"/>
      <w:r>
        <w:rPr>
          <w:rFonts w:asciiTheme="majorBidi" w:hAnsiTheme="majorBidi" w:cstheme="majorBidi"/>
          <w:bCs/>
        </w:rPr>
        <w:t>Azhar</w:t>
      </w:r>
      <w:proofErr w:type="spellEnd"/>
      <w:r>
        <w:rPr>
          <w:rFonts w:asciiTheme="majorBidi" w:hAnsiTheme="majorBidi" w:cstheme="majorBidi"/>
          <w:bCs/>
        </w:rPr>
        <w:t xml:space="preserve">, D Natalia, S </w:t>
      </w:r>
      <w:proofErr w:type="spellStart"/>
      <w:r>
        <w:rPr>
          <w:rFonts w:asciiTheme="majorBidi" w:hAnsiTheme="majorBidi" w:cstheme="majorBidi"/>
          <w:bCs/>
        </w:rPr>
        <w:t>Syukur</w:t>
      </w:r>
      <w:proofErr w:type="spellEnd"/>
      <w:r>
        <w:rPr>
          <w:rFonts w:asciiTheme="majorBidi" w:hAnsiTheme="majorBidi" w:cstheme="majorBidi"/>
          <w:bCs/>
        </w:rPr>
        <w:t xml:space="preserve">, </w:t>
      </w:r>
      <w:proofErr w:type="spellStart"/>
      <w:r>
        <w:rPr>
          <w:rFonts w:asciiTheme="majorBidi" w:hAnsiTheme="majorBidi" w:cstheme="majorBidi"/>
          <w:bCs/>
        </w:rPr>
        <w:t>Vovien</w:t>
      </w:r>
      <w:proofErr w:type="spellEnd"/>
      <w:r>
        <w:rPr>
          <w:rFonts w:asciiTheme="majorBidi" w:hAnsiTheme="majorBidi" w:cstheme="majorBidi"/>
          <w:bCs/>
        </w:rPr>
        <w:t xml:space="preserve">, and </w:t>
      </w:r>
      <w:proofErr w:type="spellStart"/>
      <w:r>
        <w:rPr>
          <w:rFonts w:asciiTheme="majorBidi" w:hAnsiTheme="majorBidi" w:cstheme="majorBidi"/>
          <w:bCs/>
        </w:rPr>
        <w:t>Jamasari</w:t>
      </w:r>
      <w:proofErr w:type="spellEnd"/>
      <w:r>
        <w:rPr>
          <w:rFonts w:asciiTheme="majorBidi" w:hAnsiTheme="majorBidi" w:cstheme="majorBidi"/>
          <w:bCs/>
        </w:rPr>
        <w:t>.</w:t>
      </w:r>
      <w:r w:rsidRPr="009E2796">
        <w:rPr>
          <w:rFonts w:asciiTheme="majorBidi" w:hAnsiTheme="majorBidi" w:cstheme="majorBidi"/>
          <w:bCs/>
        </w:rPr>
        <w:t xml:space="preserve"> </w:t>
      </w:r>
      <w:r>
        <w:rPr>
          <w:rFonts w:asciiTheme="majorBidi" w:hAnsiTheme="majorBidi" w:cstheme="majorBidi"/>
          <w:bCs/>
        </w:rPr>
        <w:t>“</w:t>
      </w:r>
      <w:r w:rsidRPr="009E2796">
        <w:rPr>
          <w:rFonts w:asciiTheme="majorBidi" w:hAnsiTheme="majorBidi" w:cstheme="majorBidi"/>
          <w:bCs/>
        </w:rPr>
        <w:t xml:space="preserve">Gene Fragments that encodes inulin hydrolysis enzyme from genomic Bacillus </w:t>
      </w:r>
      <w:proofErr w:type="spellStart"/>
      <w:r w:rsidRPr="009E2796">
        <w:rPr>
          <w:rFonts w:asciiTheme="majorBidi" w:hAnsiTheme="majorBidi" w:cstheme="majorBidi"/>
          <w:bCs/>
        </w:rPr>
        <w:t>licheniformis</w:t>
      </w:r>
      <w:proofErr w:type="spellEnd"/>
      <w:r w:rsidRPr="009E2796">
        <w:rPr>
          <w:rFonts w:asciiTheme="majorBidi" w:hAnsiTheme="majorBidi" w:cstheme="majorBidi"/>
          <w:bCs/>
        </w:rPr>
        <w:t>:</w:t>
      </w:r>
      <w:r>
        <w:rPr>
          <w:rFonts w:asciiTheme="majorBidi" w:hAnsiTheme="majorBidi" w:cstheme="majorBidi"/>
          <w:bCs/>
        </w:rPr>
        <w:t xml:space="preserve"> </w:t>
      </w:r>
      <w:r w:rsidRPr="009E2796">
        <w:rPr>
          <w:rFonts w:asciiTheme="majorBidi" w:hAnsiTheme="majorBidi" w:cstheme="majorBidi"/>
          <w:bCs/>
        </w:rPr>
        <w:t>Isolation by PCR technique using new primers</w:t>
      </w:r>
      <w:r>
        <w:rPr>
          <w:rFonts w:asciiTheme="majorBidi" w:hAnsiTheme="majorBidi" w:cstheme="majorBidi"/>
          <w:bCs/>
        </w:rPr>
        <w:t xml:space="preserve">.” </w:t>
      </w:r>
      <w:r w:rsidRPr="00ED1F1C">
        <w:rPr>
          <w:rFonts w:asciiTheme="majorBidi" w:hAnsiTheme="majorBidi" w:cstheme="majorBidi"/>
          <w:bCs/>
          <w:i/>
        </w:rPr>
        <w:t>International Journal of Biological Chemistry</w:t>
      </w:r>
      <w:r>
        <w:rPr>
          <w:rFonts w:asciiTheme="majorBidi" w:hAnsiTheme="majorBidi" w:cstheme="majorBidi"/>
          <w:bCs/>
        </w:rPr>
        <w:t>, vol. 9(2)</w:t>
      </w:r>
      <w:r w:rsidRPr="009E2796">
        <w:rPr>
          <w:rFonts w:asciiTheme="majorBidi" w:hAnsiTheme="majorBidi" w:cstheme="majorBidi"/>
          <w:bCs/>
        </w:rPr>
        <w:t>,</w:t>
      </w:r>
      <w:r>
        <w:rPr>
          <w:rFonts w:asciiTheme="majorBidi" w:hAnsiTheme="majorBidi" w:cstheme="majorBidi"/>
          <w:bCs/>
        </w:rPr>
        <w:t xml:space="preserve"> </w:t>
      </w:r>
      <w:r w:rsidRPr="009E2796">
        <w:rPr>
          <w:rFonts w:asciiTheme="majorBidi" w:hAnsiTheme="majorBidi" w:cstheme="majorBidi"/>
          <w:bCs/>
        </w:rPr>
        <w:t>pp.</w:t>
      </w:r>
      <w:r>
        <w:rPr>
          <w:rFonts w:asciiTheme="majorBidi" w:hAnsiTheme="majorBidi" w:cstheme="majorBidi"/>
          <w:bCs/>
        </w:rPr>
        <w:t xml:space="preserve"> 59. 2015.</w:t>
      </w:r>
    </w:p>
    <w:p w:rsidR="00093D5C" w:rsidRDefault="00432C25" w:rsidP="00093D5C">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432C25">
        <w:rPr>
          <w:rFonts w:asciiTheme="majorBidi" w:hAnsiTheme="majorBidi" w:cstheme="majorBidi"/>
          <w:bCs/>
        </w:rPr>
        <w:t xml:space="preserve">Campos. “DNA Extraction from Formalin-Fixed Material.” </w:t>
      </w:r>
      <w:r w:rsidRPr="00432C25">
        <w:rPr>
          <w:rFonts w:asciiTheme="majorBidi" w:hAnsiTheme="majorBidi" w:cstheme="majorBidi"/>
          <w:bCs/>
          <w:i/>
        </w:rPr>
        <w:t>Methods in molecular biology</w:t>
      </w:r>
      <w:r w:rsidRPr="00432C25">
        <w:rPr>
          <w:rFonts w:asciiTheme="majorBidi" w:hAnsiTheme="majorBidi" w:cstheme="majorBidi"/>
          <w:bCs/>
        </w:rPr>
        <w:t>. January, 2012.</w:t>
      </w:r>
    </w:p>
    <w:p w:rsidR="00727525" w:rsidRDefault="00093D5C" w:rsidP="00727525">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093D5C">
        <w:rPr>
          <w:rFonts w:asciiTheme="majorBidi" w:hAnsiTheme="majorBidi" w:cstheme="majorBidi"/>
          <w:bCs/>
        </w:rPr>
        <w:t xml:space="preserve">J </w:t>
      </w:r>
      <w:proofErr w:type="spellStart"/>
      <w:r w:rsidRPr="00093D5C">
        <w:rPr>
          <w:rFonts w:asciiTheme="majorBidi" w:hAnsiTheme="majorBidi" w:cstheme="majorBidi"/>
          <w:bCs/>
        </w:rPr>
        <w:t>Jozefczuk</w:t>
      </w:r>
      <w:proofErr w:type="spellEnd"/>
      <w:r w:rsidRPr="00093D5C">
        <w:rPr>
          <w:rFonts w:asciiTheme="majorBidi" w:hAnsiTheme="majorBidi" w:cstheme="majorBidi"/>
          <w:bCs/>
        </w:rPr>
        <w:t xml:space="preserve">, H </w:t>
      </w:r>
      <w:proofErr w:type="spellStart"/>
      <w:r w:rsidRPr="00093D5C">
        <w:rPr>
          <w:rFonts w:asciiTheme="majorBidi" w:hAnsiTheme="majorBidi" w:cstheme="majorBidi"/>
          <w:bCs/>
        </w:rPr>
        <w:t>Stachelscheid</w:t>
      </w:r>
      <w:proofErr w:type="spellEnd"/>
      <w:r w:rsidRPr="00093D5C">
        <w:rPr>
          <w:rFonts w:asciiTheme="majorBidi" w:hAnsiTheme="majorBidi" w:cstheme="majorBidi"/>
          <w:bCs/>
        </w:rPr>
        <w:t xml:space="preserve">, L Chavez, R Herwig, H </w:t>
      </w:r>
      <w:proofErr w:type="spellStart"/>
      <w:r w:rsidRPr="00093D5C">
        <w:rPr>
          <w:rFonts w:asciiTheme="majorBidi" w:hAnsiTheme="majorBidi" w:cstheme="majorBidi"/>
          <w:bCs/>
        </w:rPr>
        <w:t>Lehrach</w:t>
      </w:r>
      <w:proofErr w:type="spellEnd"/>
      <w:r w:rsidRPr="00093D5C">
        <w:rPr>
          <w:rFonts w:asciiTheme="majorBidi" w:hAnsiTheme="majorBidi" w:cstheme="majorBidi"/>
          <w:bCs/>
        </w:rPr>
        <w:t xml:space="preserve">, K </w:t>
      </w:r>
      <w:proofErr w:type="spellStart"/>
      <w:r w:rsidRPr="00093D5C">
        <w:rPr>
          <w:rFonts w:asciiTheme="majorBidi" w:hAnsiTheme="majorBidi" w:cstheme="majorBidi"/>
          <w:bCs/>
        </w:rPr>
        <w:t>Zeilinger</w:t>
      </w:r>
      <w:proofErr w:type="spellEnd"/>
      <w:r w:rsidRPr="00093D5C">
        <w:rPr>
          <w:rFonts w:asciiTheme="majorBidi" w:hAnsiTheme="majorBidi" w:cstheme="majorBidi"/>
          <w:bCs/>
        </w:rPr>
        <w:t xml:space="preserve">, JC Gerlach, and J </w:t>
      </w:r>
      <w:proofErr w:type="spellStart"/>
      <w:r w:rsidRPr="00093D5C">
        <w:rPr>
          <w:rFonts w:asciiTheme="majorBidi" w:hAnsiTheme="majorBidi" w:cstheme="majorBidi"/>
          <w:bCs/>
        </w:rPr>
        <w:t>Adjaye</w:t>
      </w:r>
      <w:proofErr w:type="spellEnd"/>
      <w:r w:rsidRPr="00093D5C">
        <w:rPr>
          <w:rFonts w:asciiTheme="majorBidi" w:hAnsiTheme="majorBidi" w:cstheme="majorBidi"/>
          <w:bCs/>
        </w:rPr>
        <w:t>. “Molecular characterization of cultured adult human liver progenitor cells.” Tissue Eng. Part C Methods, vol. 16(5), pp. 821–34. 2010.</w:t>
      </w:r>
    </w:p>
    <w:p w:rsidR="00727525" w:rsidRPr="00727525" w:rsidRDefault="00727525" w:rsidP="00727525">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727525">
        <w:rPr>
          <w:rFonts w:asciiTheme="majorBidi" w:hAnsiTheme="majorBidi" w:cstheme="majorBidi"/>
          <w:bCs/>
        </w:rPr>
        <w:t xml:space="preserve">R Boland and L </w:t>
      </w:r>
      <w:proofErr w:type="spellStart"/>
      <w:r w:rsidRPr="00727525">
        <w:rPr>
          <w:rFonts w:asciiTheme="majorBidi" w:hAnsiTheme="majorBidi" w:cstheme="majorBidi"/>
          <w:bCs/>
        </w:rPr>
        <w:t>Riccardiello</w:t>
      </w:r>
      <w:proofErr w:type="spellEnd"/>
      <w:r w:rsidRPr="00727525">
        <w:rPr>
          <w:rFonts w:asciiTheme="majorBidi" w:hAnsiTheme="majorBidi" w:cstheme="majorBidi"/>
          <w:bCs/>
        </w:rPr>
        <w:t xml:space="preserve">. “How many mutations does it take to make a tumor?” </w:t>
      </w:r>
      <w:r w:rsidRPr="00727525">
        <w:rPr>
          <w:rFonts w:asciiTheme="majorBidi" w:hAnsiTheme="majorBidi" w:cstheme="majorBidi"/>
          <w:bCs/>
          <w:i/>
        </w:rPr>
        <w:t xml:space="preserve">Proc Natl </w:t>
      </w:r>
      <w:proofErr w:type="spellStart"/>
      <w:r w:rsidRPr="00727525">
        <w:rPr>
          <w:rFonts w:asciiTheme="majorBidi" w:hAnsiTheme="majorBidi" w:cstheme="majorBidi"/>
          <w:bCs/>
          <w:i/>
        </w:rPr>
        <w:t>Acad</w:t>
      </w:r>
      <w:proofErr w:type="spellEnd"/>
      <w:r w:rsidRPr="00727525">
        <w:rPr>
          <w:rFonts w:asciiTheme="majorBidi" w:hAnsiTheme="majorBidi" w:cstheme="majorBidi"/>
          <w:bCs/>
          <w:i/>
        </w:rPr>
        <w:t xml:space="preserve"> Sci USA</w:t>
      </w:r>
      <w:r w:rsidRPr="00727525">
        <w:rPr>
          <w:rFonts w:asciiTheme="majorBidi" w:hAnsiTheme="majorBidi" w:cstheme="majorBidi"/>
          <w:bCs/>
        </w:rPr>
        <w:t>, vol. 96, pp. 14675-7. 1999.</w:t>
      </w:r>
    </w:p>
    <w:p w:rsidR="00727525" w:rsidRDefault="0072273E" w:rsidP="00093D5C">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956CF6">
        <w:rPr>
          <w:rFonts w:asciiTheme="majorBidi" w:hAnsiTheme="majorBidi" w:cstheme="majorBidi"/>
          <w:bCs/>
        </w:rPr>
        <w:t>MJ Renan. “How many mutations are required for tumorigenesis? Implications from human cancer data.”  Molecular Carcinogenesis, vol. 7, pp. 139 – 146. 1993.</w:t>
      </w:r>
    </w:p>
    <w:p w:rsidR="007A1E67" w:rsidRDefault="00727525" w:rsidP="007A1E67">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Pr>
          <w:rFonts w:asciiTheme="majorBidi" w:hAnsiTheme="majorBidi" w:cstheme="majorBidi"/>
          <w:bCs/>
        </w:rPr>
        <w:t xml:space="preserve">R </w:t>
      </w:r>
      <w:proofErr w:type="spellStart"/>
      <w:r>
        <w:rPr>
          <w:rFonts w:asciiTheme="majorBidi" w:hAnsiTheme="majorBidi" w:cstheme="majorBidi"/>
          <w:bCs/>
        </w:rPr>
        <w:t>Bernards</w:t>
      </w:r>
      <w:proofErr w:type="spellEnd"/>
      <w:r>
        <w:rPr>
          <w:rFonts w:asciiTheme="majorBidi" w:hAnsiTheme="majorBidi" w:cstheme="majorBidi"/>
          <w:bCs/>
        </w:rPr>
        <w:t xml:space="preserve"> </w:t>
      </w:r>
      <w:r w:rsidRPr="009E2796">
        <w:rPr>
          <w:rFonts w:asciiTheme="majorBidi" w:hAnsiTheme="majorBidi" w:cstheme="majorBidi"/>
          <w:bCs/>
        </w:rPr>
        <w:t xml:space="preserve">and </w:t>
      </w:r>
      <w:r>
        <w:rPr>
          <w:rFonts w:asciiTheme="majorBidi" w:hAnsiTheme="majorBidi" w:cstheme="majorBidi"/>
          <w:bCs/>
        </w:rPr>
        <w:t>RA Weinberg. “</w:t>
      </w:r>
      <w:r w:rsidRPr="009E2796">
        <w:rPr>
          <w:rFonts w:asciiTheme="majorBidi" w:hAnsiTheme="majorBidi" w:cstheme="majorBidi"/>
          <w:bCs/>
        </w:rPr>
        <w:t>A progression puzzle – metastasis genes.</w:t>
      </w:r>
      <w:r>
        <w:rPr>
          <w:rFonts w:asciiTheme="majorBidi" w:hAnsiTheme="majorBidi" w:cstheme="majorBidi"/>
          <w:bCs/>
        </w:rPr>
        <w:t>”</w:t>
      </w:r>
      <w:r w:rsidRPr="009E2796">
        <w:rPr>
          <w:rFonts w:asciiTheme="majorBidi" w:hAnsiTheme="majorBidi" w:cstheme="majorBidi"/>
          <w:bCs/>
        </w:rPr>
        <w:t xml:space="preserve"> </w:t>
      </w:r>
      <w:r w:rsidRPr="00320F85">
        <w:rPr>
          <w:rFonts w:asciiTheme="majorBidi" w:hAnsiTheme="majorBidi" w:cstheme="majorBidi"/>
          <w:bCs/>
          <w:i/>
        </w:rPr>
        <w:t>Nature</w:t>
      </w:r>
      <w:r>
        <w:rPr>
          <w:rFonts w:asciiTheme="majorBidi" w:hAnsiTheme="majorBidi" w:cstheme="majorBidi"/>
          <w:bCs/>
        </w:rPr>
        <w:t>,</w:t>
      </w:r>
      <w:r w:rsidRPr="009E2796">
        <w:rPr>
          <w:rFonts w:asciiTheme="majorBidi" w:hAnsiTheme="majorBidi" w:cstheme="majorBidi"/>
          <w:bCs/>
        </w:rPr>
        <w:t xml:space="preserve"> </w:t>
      </w:r>
      <w:r>
        <w:rPr>
          <w:rFonts w:asciiTheme="majorBidi" w:hAnsiTheme="majorBidi" w:cstheme="majorBidi"/>
          <w:bCs/>
        </w:rPr>
        <w:t>vol. 418, pp. 823.</w:t>
      </w:r>
      <w:r w:rsidRPr="009E2796">
        <w:rPr>
          <w:rFonts w:asciiTheme="majorBidi" w:hAnsiTheme="majorBidi" w:cstheme="majorBidi"/>
          <w:bCs/>
        </w:rPr>
        <w:t xml:space="preserve"> 2002.</w:t>
      </w:r>
    </w:p>
    <w:p w:rsidR="007A1E67" w:rsidRPr="007A1E67" w:rsidRDefault="007A1E67" w:rsidP="007A1E67">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7A1E67">
        <w:rPr>
          <w:rFonts w:asciiTheme="majorBidi" w:hAnsiTheme="majorBidi" w:cstheme="majorBidi"/>
          <w:bCs/>
        </w:rPr>
        <w:t xml:space="preserve">TM </w:t>
      </w:r>
      <w:proofErr w:type="spellStart"/>
      <w:r w:rsidRPr="007A1E67">
        <w:rPr>
          <w:rFonts w:asciiTheme="majorBidi" w:hAnsiTheme="majorBidi" w:cstheme="majorBidi"/>
          <w:bCs/>
        </w:rPr>
        <w:t>Pisansky</w:t>
      </w:r>
      <w:proofErr w:type="spellEnd"/>
      <w:r w:rsidRPr="007A1E67">
        <w:rPr>
          <w:rFonts w:asciiTheme="majorBidi" w:hAnsiTheme="majorBidi" w:cstheme="majorBidi"/>
          <w:bCs/>
        </w:rPr>
        <w:t xml:space="preserve">, MJ Kahn, DG Bostwick. “An enhanced </w:t>
      </w:r>
      <w:proofErr w:type="spellStart"/>
      <w:r w:rsidRPr="007A1E67">
        <w:rPr>
          <w:rFonts w:asciiTheme="majorBidi" w:hAnsiTheme="majorBidi" w:cstheme="majorBidi"/>
          <w:bCs/>
        </w:rPr>
        <w:t>progostic</w:t>
      </w:r>
      <w:proofErr w:type="spellEnd"/>
      <w:r w:rsidRPr="007A1E67">
        <w:rPr>
          <w:rFonts w:asciiTheme="majorBidi" w:hAnsiTheme="majorBidi" w:cstheme="majorBidi"/>
          <w:bCs/>
        </w:rPr>
        <w:t xml:space="preserve"> system for clinically localized carcinoma of the prostate.” Cancer, vol. 79, pp. 2154-2161. 1997. </w:t>
      </w:r>
    </w:p>
    <w:p w:rsidR="00080B7F" w:rsidRDefault="00B77D3E" w:rsidP="00093D5C">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Pr>
          <w:rFonts w:asciiTheme="majorBidi" w:hAnsiTheme="majorBidi" w:cstheme="majorBidi"/>
          <w:bCs/>
        </w:rPr>
        <w:t xml:space="preserve">W Coleman, and G </w:t>
      </w:r>
      <w:proofErr w:type="spellStart"/>
      <w:r>
        <w:rPr>
          <w:rFonts w:asciiTheme="majorBidi" w:hAnsiTheme="majorBidi" w:cstheme="majorBidi"/>
          <w:bCs/>
        </w:rPr>
        <w:t>Tsongalis</w:t>
      </w:r>
      <w:proofErr w:type="spellEnd"/>
      <w:r w:rsidRPr="009E2796">
        <w:rPr>
          <w:rFonts w:asciiTheme="majorBidi" w:hAnsiTheme="majorBidi" w:cstheme="majorBidi"/>
          <w:bCs/>
        </w:rPr>
        <w:t xml:space="preserve">. </w:t>
      </w:r>
      <w:r>
        <w:rPr>
          <w:rFonts w:asciiTheme="majorBidi" w:hAnsiTheme="majorBidi" w:cstheme="majorBidi"/>
          <w:bCs/>
        </w:rPr>
        <w:t>“</w:t>
      </w:r>
      <w:r w:rsidRPr="009E2796">
        <w:rPr>
          <w:rFonts w:asciiTheme="majorBidi" w:hAnsiTheme="majorBidi" w:cstheme="majorBidi"/>
          <w:bCs/>
        </w:rPr>
        <w:t xml:space="preserve">The Molecular Basis of Human Cancer (1 </w:t>
      </w:r>
      <w:proofErr w:type="spellStart"/>
      <w:r w:rsidRPr="009E2796">
        <w:rPr>
          <w:rFonts w:asciiTheme="majorBidi" w:hAnsiTheme="majorBidi" w:cstheme="majorBidi"/>
          <w:bCs/>
        </w:rPr>
        <w:t>st</w:t>
      </w:r>
      <w:proofErr w:type="spellEnd"/>
      <w:r w:rsidRPr="009E2796">
        <w:rPr>
          <w:rFonts w:asciiTheme="majorBidi" w:hAnsiTheme="majorBidi" w:cstheme="majorBidi"/>
          <w:bCs/>
        </w:rPr>
        <w:t>).</w:t>
      </w:r>
      <w:r>
        <w:rPr>
          <w:rFonts w:asciiTheme="majorBidi" w:hAnsiTheme="majorBidi" w:cstheme="majorBidi"/>
          <w:bCs/>
        </w:rPr>
        <w:t>”</w:t>
      </w:r>
      <w:r w:rsidRPr="009E2796">
        <w:rPr>
          <w:rFonts w:asciiTheme="majorBidi" w:hAnsiTheme="majorBidi" w:cstheme="majorBidi"/>
          <w:bCs/>
        </w:rPr>
        <w:t xml:space="preserve"> </w:t>
      </w:r>
      <w:r w:rsidRPr="00FA3D7E">
        <w:rPr>
          <w:rFonts w:asciiTheme="majorBidi" w:hAnsiTheme="majorBidi" w:cstheme="majorBidi"/>
          <w:bCs/>
          <w:i/>
        </w:rPr>
        <w:t>Humana Press Inc.</w:t>
      </w:r>
      <w:r>
        <w:rPr>
          <w:rFonts w:asciiTheme="majorBidi" w:hAnsiTheme="majorBidi" w:cstheme="majorBidi"/>
          <w:bCs/>
          <w:i/>
        </w:rPr>
        <w:t xml:space="preserve"> </w:t>
      </w:r>
      <w:r>
        <w:rPr>
          <w:rFonts w:asciiTheme="majorBidi" w:hAnsiTheme="majorBidi" w:cstheme="majorBidi"/>
          <w:bCs/>
        </w:rPr>
        <w:t>2002.</w:t>
      </w:r>
    </w:p>
    <w:p w:rsidR="000F1278" w:rsidRDefault="00B77D3E" w:rsidP="000F1278">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Pr>
          <w:rFonts w:asciiTheme="majorBidi" w:hAnsiTheme="majorBidi" w:cstheme="majorBidi"/>
          <w:bCs/>
        </w:rPr>
        <w:t>F MacDonald</w:t>
      </w:r>
      <w:r w:rsidRPr="009E2796">
        <w:rPr>
          <w:rFonts w:asciiTheme="majorBidi" w:hAnsiTheme="majorBidi" w:cstheme="majorBidi"/>
          <w:bCs/>
        </w:rPr>
        <w:t xml:space="preserve">, </w:t>
      </w:r>
      <w:r>
        <w:rPr>
          <w:rFonts w:asciiTheme="majorBidi" w:hAnsiTheme="majorBidi" w:cstheme="majorBidi"/>
          <w:bCs/>
        </w:rPr>
        <w:t xml:space="preserve">CHJ Ford, and AG </w:t>
      </w:r>
      <w:proofErr w:type="spellStart"/>
      <w:r>
        <w:rPr>
          <w:rFonts w:asciiTheme="majorBidi" w:hAnsiTheme="majorBidi" w:cstheme="majorBidi"/>
          <w:bCs/>
        </w:rPr>
        <w:t>Casson</w:t>
      </w:r>
      <w:proofErr w:type="spellEnd"/>
      <w:r w:rsidRPr="009E2796">
        <w:rPr>
          <w:rFonts w:asciiTheme="majorBidi" w:hAnsiTheme="majorBidi" w:cstheme="majorBidi"/>
          <w:bCs/>
        </w:rPr>
        <w:t xml:space="preserve">. </w:t>
      </w:r>
      <w:r>
        <w:rPr>
          <w:rFonts w:asciiTheme="majorBidi" w:hAnsiTheme="majorBidi" w:cstheme="majorBidi"/>
          <w:bCs/>
        </w:rPr>
        <w:t xml:space="preserve">“Molecular Biology of Cancer” in </w:t>
      </w:r>
      <w:r w:rsidRPr="008F2CFF">
        <w:rPr>
          <w:rFonts w:asciiTheme="majorBidi" w:hAnsiTheme="majorBidi" w:cstheme="majorBidi"/>
          <w:bCs/>
          <w:i/>
        </w:rPr>
        <w:t>MacDonald</w:t>
      </w:r>
      <w:r>
        <w:rPr>
          <w:rFonts w:asciiTheme="majorBidi" w:hAnsiTheme="majorBidi" w:cstheme="majorBidi"/>
          <w:bCs/>
        </w:rPr>
        <w:t>, 2</w:t>
      </w:r>
      <w:r>
        <w:rPr>
          <w:rFonts w:asciiTheme="majorBidi" w:hAnsiTheme="majorBidi" w:cstheme="majorBidi"/>
          <w:bCs/>
          <w:vertAlign w:val="superscript"/>
        </w:rPr>
        <w:t>nd</w:t>
      </w:r>
      <w:r>
        <w:rPr>
          <w:rFonts w:asciiTheme="majorBidi" w:hAnsiTheme="majorBidi" w:cstheme="majorBidi"/>
          <w:bCs/>
        </w:rPr>
        <w:t xml:space="preserve"> </w:t>
      </w:r>
      <w:proofErr w:type="spellStart"/>
      <w:r>
        <w:rPr>
          <w:rFonts w:asciiTheme="majorBidi" w:hAnsiTheme="majorBidi" w:cstheme="majorBidi"/>
          <w:bCs/>
        </w:rPr>
        <w:t>ed</w:t>
      </w:r>
      <w:proofErr w:type="spellEnd"/>
      <w:r>
        <w:rPr>
          <w:rFonts w:asciiTheme="majorBidi" w:hAnsiTheme="majorBidi" w:cstheme="majorBidi"/>
          <w:bCs/>
        </w:rPr>
        <w:t>, 2004.</w:t>
      </w:r>
    </w:p>
    <w:p w:rsidR="000F1278" w:rsidRDefault="000F1278" w:rsidP="000F1278">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0F1278">
        <w:rPr>
          <w:rFonts w:asciiTheme="majorBidi" w:hAnsiTheme="majorBidi" w:cstheme="majorBidi"/>
          <w:bCs/>
        </w:rPr>
        <w:t xml:space="preserve">TJ McDonnell, P </w:t>
      </w:r>
      <w:proofErr w:type="spellStart"/>
      <w:r w:rsidRPr="000F1278">
        <w:rPr>
          <w:rFonts w:asciiTheme="majorBidi" w:hAnsiTheme="majorBidi" w:cstheme="majorBidi"/>
          <w:bCs/>
        </w:rPr>
        <w:t>Troncoso</w:t>
      </w:r>
      <w:proofErr w:type="spellEnd"/>
      <w:r w:rsidRPr="000F1278">
        <w:rPr>
          <w:rFonts w:asciiTheme="majorBidi" w:hAnsiTheme="majorBidi" w:cstheme="majorBidi"/>
          <w:bCs/>
        </w:rPr>
        <w:t xml:space="preserve">, SM </w:t>
      </w:r>
      <w:proofErr w:type="spellStart"/>
      <w:r w:rsidRPr="000F1278">
        <w:rPr>
          <w:rFonts w:asciiTheme="majorBidi" w:hAnsiTheme="majorBidi" w:cstheme="majorBidi"/>
          <w:bCs/>
        </w:rPr>
        <w:t>Brisbay</w:t>
      </w:r>
      <w:proofErr w:type="spellEnd"/>
      <w:r w:rsidRPr="000F1278">
        <w:rPr>
          <w:rFonts w:asciiTheme="majorBidi" w:hAnsiTheme="majorBidi" w:cstheme="majorBidi"/>
          <w:bCs/>
        </w:rPr>
        <w:t xml:space="preserve">, C </w:t>
      </w:r>
      <w:proofErr w:type="spellStart"/>
      <w:r w:rsidRPr="000F1278">
        <w:rPr>
          <w:rFonts w:asciiTheme="majorBidi" w:hAnsiTheme="majorBidi" w:cstheme="majorBidi"/>
          <w:bCs/>
        </w:rPr>
        <w:t>Logothetis</w:t>
      </w:r>
      <w:proofErr w:type="spellEnd"/>
      <w:r w:rsidRPr="000F1278">
        <w:rPr>
          <w:rFonts w:asciiTheme="majorBidi" w:hAnsiTheme="majorBidi" w:cstheme="majorBidi"/>
          <w:bCs/>
        </w:rPr>
        <w:t>, LWK Chung, JT Hsieh, SM Tu, and ML Campbell. “Expression of the protooncogene bcl-2 in the prostate and its association with emergence of androgen-</w:t>
      </w:r>
      <w:r w:rsidRPr="000F1278">
        <w:rPr>
          <w:rFonts w:asciiTheme="majorBidi" w:hAnsiTheme="majorBidi" w:cstheme="majorBidi"/>
          <w:bCs/>
        </w:rPr>
        <w:lastRenderedPageBreak/>
        <w:t>independent prostate cancer.” Cancer Res., vol. 52, pp. 6940-4. 1992.</w:t>
      </w:r>
    </w:p>
    <w:p w:rsidR="00CD4ED7" w:rsidRDefault="000F1278" w:rsidP="00CD4ED7">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0F1278">
        <w:rPr>
          <w:rFonts w:asciiTheme="majorBidi" w:hAnsiTheme="majorBidi" w:cstheme="majorBidi"/>
          <w:bCs/>
        </w:rPr>
        <w:t xml:space="preserve">GJ </w:t>
      </w:r>
      <w:proofErr w:type="spellStart"/>
      <w:r w:rsidRPr="000F1278">
        <w:rPr>
          <w:rFonts w:asciiTheme="majorBidi" w:hAnsiTheme="majorBidi" w:cstheme="majorBidi"/>
          <w:bCs/>
        </w:rPr>
        <w:t>Berchem</w:t>
      </w:r>
      <w:proofErr w:type="spellEnd"/>
      <w:r w:rsidRPr="000F1278">
        <w:rPr>
          <w:rFonts w:asciiTheme="majorBidi" w:hAnsiTheme="majorBidi" w:cstheme="majorBidi"/>
          <w:bCs/>
        </w:rPr>
        <w:t xml:space="preserve">, M </w:t>
      </w:r>
      <w:proofErr w:type="spellStart"/>
      <w:r w:rsidRPr="000F1278">
        <w:rPr>
          <w:rFonts w:asciiTheme="majorBidi" w:hAnsiTheme="majorBidi" w:cstheme="majorBidi"/>
          <w:bCs/>
        </w:rPr>
        <w:t>Bosseler</w:t>
      </w:r>
      <w:proofErr w:type="spellEnd"/>
      <w:r w:rsidRPr="000F1278">
        <w:rPr>
          <w:rFonts w:asciiTheme="majorBidi" w:hAnsiTheme="majorBidi" w:cstheme="majorBidi"/>
          <w:bCs/>
        </w:rPr>
        <w:t xml:space="preserve">, LY Sugars, HJ </w:t>
      </w:r>
      <w:proofErr w:type="spellStart"/>
      <w:r w:rsidRPr="000F1278">
        <w:rPr>
          <w:rFonts w:asciiTheme="majorBidi" w:hAnsiTheme="majorBidi" w:cstheme="majorBidi"/>
          <w:bCs/>
        </w:rPr>
        <w:t>Voeller</w:t>
      </w:r>
      <w:proofErr w:type="spellEnd"/>
      <w:r w:rsidRPr="000F1278">
        <w:rPr>
          <w:rFonts w:asciiTheme="majorBidi" w:hAnsiTheme="majorBidi" w:cstheme="majorBidi"/>
          <w:bCs/>
        </w:rPr>
        <w:t xml:space="preserve">, S Zeitlin, et al. “Androgens induce resistance to bcl-2-mediated apoptosis in LNCaP prostate cancer cells.” </w:t>
      </w:r>
      <w:r w:rsidRPr="000F1278">
        <w:rPr>
          <w:rFonts w:asciiTheme="majorBidi" w:hAnsiTheme="majorBidi" w:cstheme="majorBidi"/>
          <w:bCs/>
          <w:i/>
        </w:rPr>
        <w:t>Cancer Res</w:t>
      </w:r>
      <w:r w:rsidRPr="000F1278">
        <w:rPr>
          <w:rFonts w:asciiTheme="majorBidi" w:hAnsiTheme="majorBidi" w:cstheme="majorBidi"/>
          <w:bCs/>
        </w:rPr>
        <w:t>, vol. 55, pp. 735-8. 1995.</w:t>
      </w:r>
    </w:p>
    <w:p w:rsidR="00CD4ED7" w:rsidRDefault="00CD4ED7" w:rsidP="00CD4ED7">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CD4ED7">
        <w:rPr>
          <w:rFonts w:asciiTheme="majorBidi" w:hAnsiTheme="majorBidi" w:cstheme="majorBidi"/>
          <w:bCs/>
        </w:rPr>
        <w:t xml:space="preserve">P Rodriguez-Tome, T Flores, M </w:t>
      </w:r>
      <w:proofErr w:type="spellStart"/>
      <w:r w:rsidRPr="00CD4ED7">
        <w:rPr>
          <w:rFonts w:asciiTheme="majorBidi" w:hAnsiTheme="majorBidi" w:cstheme="majorBidi"/>
          <w:bCs/>
        </w:rPr>
        <w:t>Hollstein</w:t>
      </w:r>
      <w:proofErr w:type="spellEnd"/>
      <w:r w:rsidRPr="00CD4ED7">
        <w:rPr>
          <w:rFonts w:asciiTheme="majorBidi" w:hAnsiTheme="majorBidi" w:cstheme="majorBidi"/>
          <w:bCs/>
        </w:rPr>
        <w:t xml:space="preserve">, CC Harris, R Montesano. “IARC Database of p53 gene mutations in human tumors and cell lines: updated compilation, revised formats and new </w:t>
      </w:r>
      <w:proofErr w:type="spellStart"/>
      <w:r w:rsidRPr="00CD4ED7">
        <w:rPr>
          <w:rFonts w:asciiTheme="majorBidi" w:hAnsiTheme="majorBidi" w:cstheme="majorBidi"/>
          <w:bCs/>
        </w:rPr>
        <w:t>visualisation</w:t>
      </w:r>
      <w:proofErr w:type="spellEnd"/>
      <w:r w:rsidRPr="00CD4ED7">
        <w:rPr>
          <w:rFonts w:asciiTheme="majorBidi" w:hAnsiTheme="majorBidi" w:cstheme="majorBidi"/>
          <w:bCs/>
        </w:rPr>
        <w:t xml:space="preserve"> tools.” Nucleic Acids Research, vol. 26, pp. 205 – 213. 1998. </w:t>
      </w:r>
    </w:p>
    <w:p w:rsidR="00CD4ED7" w:rsidRDefault="00CD4ED7" w:rsidP="00CD4ED7">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CD4ED7">
        <w:rPr>
          <w:rFonts w:asciiTheme="majorBidi" w:hAnsiTheme="majorBidi" w:cstheme="majorBidi"/>
          <w:bCs/>
        </w:rPr>
        <w:t xml:space="preserve">TH </w:t>
      </w:r>
      <w:proofErr w:type="spellStart"/>
      <w:r w:rsidRPr="00CD4ED7">
        <w:rPr>
          <w:rFonts w:asciiTheme="majorBidi" w:hAnsiTheme="majorBidi" w:cstheme="majorBidi"/>
          <w:bCs/>
        </w:rPr>
        <w:t>Ecke</w:t>
      </w:r>
      <w:proofErr w:type="spellEnd"/>
      <w:r w:rsidRPr="00CD4ED7">
        <w:rPr>
          <w:rFonts w:asciiTheme="majorBidi" w:hAnsiTheme="majorBidi" w:cstheme="majorBidi"/>
          <w:bCs/>
        </w:rPr>
        <w:t xml:space="preserve">, HH </w:t>
      </w:r>
      <w:proofErr w:type="spellStart"/>
      <w:r w:rsidRPr="00CD4ED7">
        <w:rPr>
          <w:rFonts w:asciiTheme="majorBidi" w:hAnsiTheme="majorBidi" w:cstheme="majorBidi"/>
          <w:bCs/>
        </w:rPr>
        <w:t>Schlechte</w:t>
      </w:r>
      <w:proofErr w:type="spellEnd"/>
      <w:r w:rsidRPr="00CD4ED7">
        <w:rPr>
          <w:rFonts w:asciiTheme="majorBidi" w:hAnsiTheme="majorBidi" w:cstheme="majorBidi"/>
          <w:bCs/>
        </w:rPr>
        <w:t xml:space="preserve">, A </w:t>
      </w:r>
      <w:proofErr w:type="spellStart"/>
      <w:r w:rsidRPr="00CD4ED7">
        <w:rPr>
          <w:rFonts w:asciiTheme="majorBidi" w:hAnsiTheme="majorBidi" w:cstheme="majorBidi"/>
          <w:bCs/>
        </w:rPr>
        <w:t>Hübsch</w:t>
      </w:r>
      <w:proofErr w:type="spellEnd"/>
      <w:r w:rsidRPr="00CD4ED7">
        <w:rPr>
          <w:rFonts w:asciiTheme="majorBidi" w:hAnsiTheme="majorBidi" w:cstheme="majorBidi"/>
          <w:bCs/>
        </w:rPr>
        <w:t xml:space="preserve">, SV Lenk, K </w:t>
      </w:r>
      <w:proofErr w:type="spellStart"/>
      <w:r w:rsidRPr="00CD4ED7">
        <w:rPr>
          <w:rFonts w:asciiTheme="majorBidi" w:hAnsiTheme="majorBidi" w:cstheme="majorBidi"/>
          <w:bCs/>
        </w:rPr>
        <w:t>Schiemenz</w:t>
      </w:r>
      <w:proofErr w:type="spellEnd"/>
      <w:r w:rsidRPr="00CD4ED7">
        <w:rPr>
          <w:rFonts w:asciiTheme="majorBidi" w:hAnsiTheme="majorBidi" w:cstheme="majorBidi"/>
          <w:bCs/>
        </w:rPr>
        <w:t xml:space="preserve">, BD Rudolph, K Miller. “TP53Mutation in prostate needle biopsies – comparison with </w:t>
      </w:r>
      <w:proofErr w:type="gramStart"/>
      <w:r w:rsidRPr="00CD4ED7">
        <w:rPr>
          <w:rFonts w:asciiTheme="majorBidi" w:hAnsiTheme="majorBidi" w:cstheme="majorBidi"/>
          <w:bCs/>
        </w:rPr>
        <w:t>patients</w:t>
      </w:r>
      <w:proofErr w:type="gramEnd"/>
      <w:r w:rsidRPr="00CD4ED7">
        <w:rPr>
          <w:rFonts w:asciiTheme="majorBidi" w:hAnsiTheme="majorBidi" w:cstheme="majorBidi"/>
          <w:bCs/>
        </w:rPr>
        <w:t xml:space="preserve"> follow-up.” </w:t>
      </w:r>
      <w:r w:rsidRPr="00CD4ED7">
        <w:rPr>
          <w:rFonts w:asciiTheme="majorBidi" w:hAnsiTheme="majorBidi" w:cstheme="majorBidi"/>
          <w:bCs/>
          <w:i/>
        </w:rPr>
        <w:t xml:space="preserve">Anticancer Res, </w:t>
      </w:r>
      <w:r w:rsidRPr="00CD4ED7">
        <w:rPr>
          <w:rFonts w:asciiTheme="majorBidi" w:hAnsiTheme="majorBidi" w:cstheme="majorBidi"/>
          <w:bCs/>
        </w:rPr>
        <w:t>vol. 27(6), pp. 4143-8. 2007.</w:t>
      </w:r>
    </w:p>
    <w:p w:rsidR="00CD4ED7" w:rsidRPr="00CD4ED7" w:rsidRDefault="00CD4ED7" w:rsidP="00CD4ED7">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CD4ED7">
        <w:rPr>
          <w:rFonts w:asciiTheme="majorBidi" w:hAnsiTheme="majorBidi" w:cstheme="majorBidi"/>
          <w:bCs/>
        </w:rPr>
        <w:t xml:space="preserve">D </w:t>
      </w:r>
      <w:proofErr w:type="spellStart"/>
      <w:r w:rsidRPr="00CD4ED7">
        <w:rPr>
          <w:rFonts w:asciiTheme="majorBidi" w:hAnsiTheme="majorBidi" w:cstheme="majorBidi"/>
          <w:bCs/>
        </w:rPr>
        <w:t>Sidransky</w:t>
      </w:r>
      <w:proofErr w:type="spellEnd"/>
      <w:r w:rsidRPr="00CD4ED7">
        <w:rPr>
          <w:rFonts w:asciiTheme="majorBidi" w:hAnsiTheme="majorBidi" w:cstheme="majorBidi"/>
          <w:bCs/>
        </w:rPr>
        <w:t xml:space="preserve"> and M </w:t>
      </w:r>
      <w:proofErr w:type="spellStart"/>
      <w:r w:rsidRPr="00CD4ED7">
        <w:rPr>
          <w:rFonts w:asciiTheme="majorBidi" w:hAnsiTheme="majorBidi" w:cstheme="majorBidi"/>
          <w:bCs/>
        </w:rPr>
        <w:t>Hollstein</w:t>
      </w:r>
      <w:proofErr w:type="spellEnd"/>
      <w:r w:rsidRPr="00CD4ED7">
        <w:rPr>
          <w:rFonts w:asciiTheme="majorBidi" w:hAnsiTheme="majorBidi" w:cstheme="majorBidi"/>
          <w:bCs/>
        </w:rPr>
        <w:t xml:space="preserve">. “Clinical implications of the p53 gene.” Annual Review of Medicine, vol. 47, pp. 285-301. 1996. </w:t>
      </w:r>
    </w:p>
    <w:p w:rsidR="000F1278" w:rsidRDefault="00CD4ED7" w:rsidP="000F1278">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Pr>
          <w:rFonts w:asciiTheme="majorBidi" w:hAnsiTheme="majorBidi" w:cstheme="majorBidi"/>
          <w:bCs/>
        </w:rPr>
        <w:t>JA Blondal</w:t>
      </w:r>
      <w:r w:rsidRPr="009E2796">
        <w:rPr>
          <w:rFonts w:asciiTheme="majorBidi" w:hAnsiTheme="majorBidi" w:cstheme="majorBidi"/>
          <w:bCs/>
        </w:rPr>
        <w:t xml:space="preserve"> and </w:t>
      </w:r>
      <w:r>
        <w:rPr>
          <w:rFonts w:asciiTheme="majorBidi" w:hAnsiTheme="majorBidi" w:cstheme="majorBidi"/>
          <w:bCs/>
        </w:rPr>
        <w:t xml:space="preserve">S </w:t>
      </w:r>
      <w:proofErr w:type="spellStart"/>
      <w:r>
        <w:rPr>
          <w:rFonts w:asciiTheme="majorBidi" w:hAnsiTheme="majorBidi" w:cstheme="majorBidi"/>
          <w:bCs/>
        </w:rPr>
        <w:t>Benchimol</w:t>
      </w:r>
      <w:proofErr w:type="spellEnd"/>
      <w:r>
        <w:rPr>
          <w:rFonts w:asciiTheme="majorBidi" w:hAnsiTheme="majorBidi" w:cstheme="majorBidi"/>
          <w:bCs/>
        </w:rPr>
        <w:t>.</w:t>
      </w:r>
      <w:r w:rsidRPr="009E2796">
        <w:rPr>
          <w:rFonts w:asciiTheme="majorBidi" w:hAnsiTheme="majorBidi" w:cstheme="majorBidi"/>
          <w:bCs/>
        </w:rPr>
        <w:t xml:space="preserve"> </w:t>
      </w:r>
      <w:r>
        <w:rPr>
          <w:rFonts w:asciiTheme="majorBidi" w:hAnsiTheme="majorBidi" w:cstheme="majorBidi"/>
          <w:bCs/>
        </w:rPr>
        <w:t>“</w:t>
      </w:r>
      <w:r w:rsidRPr="009E2796">
        <w:rPr>
          <w:rFonts w:asciiTheme="majorBidi" w:hAnsiTheme="majorBidi" w:cstheme="majorBidi"/>
          <w:bCs/>
        </w:rPr>
        <w:t>The role of p53 in tumor progression.</w:t>
      </w:r>
      <w:r>
        <w:rPr>
          <w:rFonts w:asciiTheme="majorBidi" w:hAnsiTheme="majorBidi" w:cstheme="majorBidi"/>
          <w:bCs/>
        </w:rPr>
        <w:t>”</w:t>
      </w:r>
      <w:r w:rsidRPr="009E2796">
        <w:rPr>
          <w:rFonts w:asciiTheme="majorBidi" w:hAnsiTheme="majorBidi" w:cstheme="majorBidi"/>
          <w:bCs/>
        </w:rPr>
        <w:t xml:space="preserve"> </w:t>
      </w:r>
      <w:proofErr w:type="spellStart"/>
      <w:r w:rsidRPr="00F038BE">
        <w:rPr>
          <w:rFonts w:asciiTheme="majorBidi" w:hAnsiTheme="majorBidi" w:cstheme="majorBidi"/>
          <w:bCs/>
          <w:i/>
        </w:rPr>
        <w:t>Semin</w:t>
      </w:r>
      <w:proofErr w:type="spellEnd"/>
      <w:r w:rsidRPr="00F038BE">
        <w:rPr>
          <w:rFonts w:asciiTheme="majorBidi" w:hAnsiTheme="majorBidi" w:cstheme="majorBidi"/>
          <w:bCs/>
          <w:i/>
        </w:rPr>
        <w:t xml:space="preserve"> Cancer </w:t>
      </w:r>
      <w:proofErr w:type="spellStart"/>
      <w:r w:rsidRPr="00F038BE">
        <w:rPr>
          <w:rFonts w:asciiTheme="majorBidi" w:hAnsiTheme="majorBidi" w:cstheme="majorBidi"/>
          <w:bCs/>
          <w:i/>
        </w:rPr>
        <w:t>Biol</w:t>
      </w:r>
      <w:proofErr w:type="spellEnd"/>
      <w:r>
        <w:rPr>
          <w:rFonts w:asciiTheme="majorBidi" w:hAnsiTheme="majorBidi" w:cstheme="majorBidi"/>
          <w:bCs/>
          <w:i/>
        </w:rPr>
        <w:t xml:space="preserve">, </w:t>
      </w:r>
      <w:r>
        <w:rPr>
          <w:rFonts w:asciiTheme="majorBidi" w:hAnsiTheme="majorBidi" w:cstheme="majorBidi"/>
          <w:bCs/>
        </w:rPr>
        <w:t>vol. 5, pp. 177-86.</w:t>
      </w:r>
      <w:r w:rsidRPr="009E2796">
        <w:rPr>
          <w:rFonts w:asciiTheme="majorBidi" w:hAnsiTheme="majorBidi" w:cstheme="majorBidi"/>
          <w:bCs/>
        </w:rPr>
        <w:t xml:space="preserve"> 1994</w:t>
      </w:r>
      <w:r>
        <w:rPr>
          <w:rFonts w:asciiTheme="majorBidi" w:hAnsiTheme="majorBidi" w:cstheme="majorBidi"/>
          <w:bCs/>
        </w:rPr>
        <w:t>.</w:t>
      </w:r>
    </w:p>
    <w:p w:rsidR="00CD4ED7" w:rsidRDefault="00CD4ED7" w:rsidP="000F1278">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sidRPr="00956CF6">
        <w:rPr>
          <w:rFonts w:asciiTheme="majorBidi" w:hAnsiTheme="majorBidi" w:cstheme="majorBidi"/>
          <w:bCs/>
        </w:rPr>
        <w:t>MRA Mowat. “p53 in tumor progression: Life, death, and everything.” Advanced Cancer Research, vol. 74, pp. 25-48. 1998.</w:t>
      </w:r>
    </w:p>
    <w:p w:rsidR="00475865" w:rsidRPr="009E2796" w:rsidRDefault="00CD4ED7" w:rsidP="00CD4ED7">
      <w:pPr>
        <w:pStyle w:val="Els-body-text"/>
        <w:widowControl w:val="0"/>
        <w:numPr>
          <w:ilvl w:val="0"/>
          <w:numId w:val="5"/>
        </w:numPr>
        <w:spacing w:before="100" w:beforeAutospacing="1" w:after="100" w:afterAutospacing="1" w:line="360" w:lineRule="auto"/>
        <w:ind w:left="360"/>
        <w:rPr>
          <w:rFonts w:asciiTheme="majorBidi" w:hAnsiTheme="majorBidi" w:cstheme="majorBidi"/>
          <w:bCs/>
        </w:rPr>
      </w:pPr>
      <w:r>
        <w:rPr>
          <w:rFonts w:asciiTheme="majorBidi" w:hAnsiTheme="majorBidi" w:cstheme="majorBidi"/>
          <w:bCs/>
        </w:rPr>
        <w:t xml:space="preserve">MA </w:t>
      </w:r>
      <w:proofErr w:type="spellStart"/>
      <w:r w:rsidRPr="009E2796">
        <w:rPr>
          <w:rFonts w:asciiTheme="majorBidi" w:hAnsiTheme="majorBidi" w:cstheme="majorBidi"/>
          <w:bCs/>
        </w:rPr>
        <w:t>Kuczyk</w:t>
      </w:r>
      <w:proofErr w:type="spellEnd"/>
      <w:r w:rsidRPr="009E2796">
        <w:rPr>
          <w:rFonts w:asciiTheme="majorBidi" w:hAnsiTheme="majorBidi" w:cstheme="majorBidi"/>
          <w:bCs/>
        </w:rPr>
        <w:t>,</w:t>
      </w:r>
      <w:r>
        <w:rPr>
          <w:rFonts w:asciiTheme="majorBidi" w:hAnsiTheme="majorBidi" w:cstheme="majorBidi"/>
          <w:bCs/>
        </w:rPr>
        <w:t xml:space="preserve"> J </w:t>
      </w:r>
      <w:proofErr w:type="spellStart"/>
      <w:r>
        <w:rPr>
          <w:rFonts w:asciiTheme="majorBidi" w:hAnsiTheme="majorBidi" w:cstheme="majorBidi"/>
          <w:bCs/>
        </w:rPr>
        <w:t>Serth</w:t>
      </w:r>
      <w:proofErr w:type="spellEnd"/>
      <w:r w:rsidRPr="009E2796">
        <w:rPr>
          <w:rFonts w:asciiTheme="majorBidi" w:hAnsiTheme="majorBidi" w:cstheme="majorBidi"/>
          <w:bCs/>
        </w:rPr>
        <w:t xml:space="preserve">, </w:t>
      </w:r>
      <w:r>
        <w:rPr>
          <w:rFonts w:asciiTheme="majorBidi" w:hAnsiTheme="majorBidi" w:cstheme="majorBidi"/>
          <w:bCs/>
        </w:rPr>
        <w:t xml:space="preserve">C </w:t>
      </w:r>
      <w:proofErr w:type="spellStart"/>
      <w:r>
        <w:rPr>
          <w:rFonts w:asciiTheme="majorBidi" w:hAnsiTheme="majorBidi" w:cstheme="majorBidi"/>
          <w:bCs/>
        </w:rPr>
        <w:t>Bokemeyer</w:t>
      </w:r>
      <w:proofErr w:type="spellEnd"/>
      <w:r w:rsidRPr="009E2796">
        <w:rPr>
          <w:rFonts w:asciiTheme="majorBidi" w:hAnsiTheme="majorBidi" w:cstheme="majorBidi"/>
          <w:bCs/>
        </w:rPr>
        <w:t xml:space="preserve">, </w:t>
      </w:r>
      <w:r>
        <w:rPr>
          <w:rFonts w:asciiTheme="majorBidi" w:hAnsiTheme="majorBidi" w:cstheme="majorBidi"/>
          <w:bCs/>
        </w:rPr>
        <w:t xml:space="preserve">S </w:t>
      </w:r>
      <w:proofErr w:type="spellStart"/>
      <w:r>
        <w:rPr>
          <w:rFonts w:asciiTheme="majorBidi" w:hAnsiTheme="majorBidi" w:cstheme="majorBidi"/>
          <w:bCs/>
        </w:rPr>
        <w:t>Machtens</w:t>
      </w:r>
      <w:proofErr w:type="spellEnd"/>
      <w:r w:rsidRPr="009E2796">
        <w:rPr>
          <w:rFonts w:asciiTheme="majorBidi" w:hAnsiTheme="majorBidi" w:cstheme="majorBidi"/>
          <w:bCs/>
        </w:rPr>
        <w:t>,</w:t>
      </w:r>
      <w:r>
        <w:rPr>
          <w:rFonts w:asciiTheme="majorBidi" w:hAnsiTheme="majorBidi" w:cstheme="majorBidi"/>
          <w:bCs/>
        </w:rPr>
        <w:t xml:space="preserve"> A </w:t>
      </w:r>
      <w:proofErr w:type="spellStart"/>
      <w:r>
        <w:rPr>
          <w:rFonts w:asciiTheme="majorBidi" w:hAnsiTheme="majorBidi" w:cstheme="majorBidi"/>
          <w:bCs/>
        </w:rPr>
        <w:t>Minssen</w:t>
      </w:r>
      <w:proofErr w:type="spellEnd"/>
      <w:r w:rsidRPr="009E2796">
        <w:rPr>
          <w:rFonts w:asciiTheme="majorBidi" w:hAnsiTheme="majorBidi" w:cstheme="majorBidi"/>
          <w:bCs/>
        </w:rPr>
        <w:t xml:space="preserve">, </w:t>
      </w:r>
      <w:r>
        <w:rPr>
          <w:rFonts w:asciiTheme="majorBidi" w:hAnsiTheme="majorBidi" w:cstheme="majorBidi"/>
          <w:bCs/>
        </w:rPr>
        <w:t xml:space="preserve">W </w:t>
      </w:r>
      <w:proofErr w:type="spellStart"/>
      <w:r>
        <w:rPr>
          <w:rFonts w:asciiTheme="majorBidi" w:hAnsiTheme="majorBidi" w:cstheme="majorBidi"/>
          <w:bCs/>
        </w:rPr>
        <w:t>Bathke</w:t>
      </w:r>
      <w:proofErr w:type="spellEnd"/>
      <w:r w:rsidRPr="009E2796">
        <w:rPr>
          <w:rFonts w:asciiTheme="majorBidi" w:hAnsiTheme="majorBidi" w:cstheme="majorBidi"/>
          <w:bCs/>
        </w:rPr>
        <w:t xml:space="preserve">, </w:t>
      </w:r>
      <w:r>
        <w:rPr>
          <w:rFonts w:asciiTheme="majorBidi" w:hAnsiTheme="majorBidi" w:cstheme="majorBidi"/>
          <w:bCs/>
        </w:rPr>
        <w:t xml:space="preserve">J </w:t>
      </w:r>
      <w:r w:rsidRPr="009E2796">
        <w:rPr>
          <w:rFonts w:asciiTheme="majorBidi" w:hAnsiTheme="majorBidi" w:cstheme="majorBidi"/>
          <w:bCs/>
        </w:rPr>
        <w:t>Hart</w:t>
      </w:r>
      <w:r>
        <w:rPr>
          <w:rFonts w:asciiTheme="majorBidi" w:hAnsiTheme="majorBidi" w:cstheme="majorBidi"/>
          <w:bCs/>
        </w:rPr>
        <w:t>mann,</w:t>
      </w:r>
      <w:r w:rsidRPr="009E2796">
        <w:rPr>
          <w:rFonts w:asciiTheme="majorBidi" w:hAnsiTheme="majorBidi" w:cstheme="majorBidi"/>
          <w:bCs/>
        </w:rPr>
        <w:t xml:space="preserve"> and</w:t>
      </w:r>
      <w:r>
        <w:rPr>
          <w:rFonts w:asciiTheme="majorBidi" w:hAnsiTheme="majorBidi" w:cstheme="majorBidi"/>
          <w:bCs/>
        </w:rPr>
        <w:t xml:space="preserve"> U Jonas. “</w:t>
      </w:r>
      <w:r w:rsidRPr="009E2796">
        <w:rPr>
          <w:rFonts w:asciiTheme="majorBidi" w:hAnsiTheme="majorBidi" w:cstheme="majorBidi"/>
          <w:bCs/>
        </w:rPr>
        <w:t>The prognostic value of p53 for long-term and recurrence-free survival following radical prostatectomy.</w:t>
      </w:r>
      <w:r>
        <w:rPr>
          <w:rFonts w:asciiTheme="majorBidi" w:hAnsiTheme="majorBidi" w:cstheme="majorBidi"/>
          <w:bCs/>
        </w:rPr>
        <w:t>”</w:t>
      </w:r>
      <w:r w:rsidRPr="009E2796">
        <w:rPr>
          <w:rFonts w:asciiTheme="majorBidi" w:hAnsiTheme="majorBidi" w:cstheme="majorBidi"/>
          <w:bCs/>
        </w:rPr>
        <w:t xml:space="preserve"> </w:t>
      </w:r>
      <w:proofErr w:type="spellStart"/>
      <w:r w:rsidRPr="00AD1B8E">
        <w:rPr>
          <w:rFonts w:asciiTheme="majorBidi" w:hAnsiTheme="majorBidi" w:cstheme="majorBidi"/>
          <w:bCs/>
          <w:i/>
        </w:rPr>
        <w:t>Eur</w:t>
      </w:r>
      <w:proofErr w:type="spellEnd"/>
      <w:r w:rsidRPr="00AD1B8E">
        <w:rPr>
          <w:rFonts w:asciiTheme="majorBidi" w:hAnsiTheme="majorBidi" w:cstheme="majorBidi"/>
          <w:bCs/>
          <w:i/>
        </w:rPr>
        <w:t xml:space="preserve"> J</w:t>
      </w:r>
      <w:r>
        <w:rPr>
          <w:rFonts w:asciiTheme="majorBidi" w:hAnsiTheme="majorBidi" w:cstheme="majorBidi"/>
          <w:bCs/>
          <w:i/>
        </w:rPr>
        <w:t xml:space="preserve"> </w:t>
      </w:r>
      <w:r w:rsidRPr="00AD1B8E">
        <w:rPr>
          <w:rFonts w:asciiTheme="majorBidi" w:hAnsiTheme="majorBidi" w:cstheme="majorBidi"/>
          <w:bCs/>
          <w:i/>
        </w:rPr>
        <w:t>Cancer</w:t>
      </w:r>
      <w:r>
        <w:rPr>
          <w:rFonts w:asciiTheme="majorBidi" w:hAnsiTheme="majorBidi" w:cstheme="majorBidi"/>
          <w:bCs/>
          <w:i/>
        </w:rPr>
        <w:t xml:space="preserve">, </w:t>
      </w:r>
      <w:r>
        <w:rPr>
          <w:rFonts w:asciiTheme="majorBidi" w:hAnsiTheme="majorBidi" w:cstheme="majorBidi"/>
          <w:bCs/>
        </w:rPr>
        <w:t>vol. 34, pp. 679-86. 1998.</w:t>
      </w:r>
      <w:r w:rsidRPr="009E2796">
        <w:rPr>
          <w:rFonts w:asciiTheme="majorBidi" w:hAnsiTheme="majorBidi" w:cstheme="majorBidi"/>
          <w:bCs/>
        </w:rPr>
        <w:t xml:space="preserve"> </w:t>
      </w:r>
    </w:p>
    <w:sectPr w:rsidR="00475865" w:rsidRPr="009E2796" w:rsidSect="00780521">
      <w:headerReference w:type="even" r:id="rId8"/>
      <w:headerReference w:type="default" r:id="rId9"/>
      <w:footerReference w:type="default" r:id="rId10"/>
      <w:headerReference w:type="first" r:id="rId11"/>
      <w:footerReference w:type="first" r:id="rId12"/>
      <w:footnotePr>
        <w:numFmt w:val="lowerLetter"/>
      </w:footnotePr>
      <w:pgSz w:w="11907" w:h="16839" w:code="9"/>
      <w:pgMar w:top="1440" w:right="1440" w:bottom="1440" w:left="1440" w:header="45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4C0" w:rsidRDefault="004334C0" w:rsidP="004125D0">
      <w:pPr>
        <w:spacing w:after="0" w:line="240" w:lineRule="auto"/>
      </w:pPr>
      <w:r>
        <w:separator/>
      </w:r>
    </w:p>
  </w:endnote>
  <w:endnote w:type="continuationSeparator" w:id="0">
    <w:p w:rsidR="004334C0" w:rsidRDefault="004334C0"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7902"/>
      <w:docPartObj>
        <w:docPartGallery w:val="Page Numbers (Bottom of Page)"/>
        <w:docPartUnique/>
      </w:docPartObj>
    </w:sdtPr>
    <w:sdtContent>
      <w:p w:rsidR="00FA3D7E" w:rsidRDefault="00FA3D7E">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1D6020" w:rsidRPr="001D6020">
          <w:rPr>
            <w:rFonts w:cs="Calibri"/>
            <w:noProof/>
            <w:sz w:val="20"/>
            <w:szCs w:val="20"/>
            <w:lang w:val="ar-SA"/>
          </w:rPr>
          <w:t>8</w:t>
        </w:r>
        <w:r w:rsidRPr="00FF6C21">
          <w:rPr>
            <w:sz w:val="20"/>
            <w:szCs w:val="20"/>
          </w:rPr>
          <w:fldChar w:fldCharType="end"/>
        </w:r>
      </w:p>
    </w:sdtContent>
  </w:sdt>
  <w:p w:rsidR="00FA3D7E" w:rsidRDefault="00FA3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7901"/>
      <w:docPartObj>
        <w:docPartGallery w:val="Page Numbers (Bottom of Page)"/>
        <w:docPartUnique/>
      </w:docPartObj>
    </w:sdtPr>
    <w:sdtContent>
      <w:p w:rsidR="00FA3D7E" w:rsidRDefault="00FA3D7E">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2F5023" w:rsidRPr="002F5023">
          <w:rPr>
            <w:rFonts w:cs="Calibri"/>
            <w:noProof/>
            <w:sz w:val="20"/>
            <w:szCs w:val="20"/>
            <w:lang w:val="ar-SA"/>
          </w:rPr>
          <w:t>1</w:t>
        </w:r>
        <w:r w:rsidRPr="00FF6C21">
          <w:rPr>
            <w:sz w:val="20"/>
            <w:szCs w:val="20"/>
          </w:rPr>
          <w:fldChar w:fldCharType="end"/>
        </w:r>
      </w:p>
    </w:sdtContent>
  </w:sdt>
  <w:p w:rsidR="00FA3D7E" w:rsidRDefault="00FA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4C0" w:rsidRDefault="004334C0" w:rsidP="004125D0">
      <w:pPr>
        <w:spacing w:after="0" w:line="240" w:lineRule="auto"/>
      </w:pPr>
      <w:r>
        <w:separator/>
      </w:r>
    </w:p>
  </w:footnote>
  <w:footnote w:type="continuationSeparator" w:id="0">
    <w:p w:rsidR="004334C0" w:rsidRDefault="004334C0"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7E" w:rsidRDefault="00FA3D7E" w:rsidP="005E155F">
    <w:pPr>
      <w:pStyle w:val="Header"/>
      <w:tabs>
        <w:tab w:val="center" w:pos="4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7E" w:rsidRDefault="00FA3D7E" w:rsidP="00FF6C21">
    <w:pPr>
      <w:pStyle w:val="Header"/>
      <w:jc w:val="center"/>
      <w:rPr>
        <w:szCs w:val="16"/>
      </w:rPr>
    </w:pPr>
    <w:r w:rsidRPr="003B3E7E">
      <w:rPr>
        <w:szCs w:val="16"/>
      </w:rPr>
      <w:t>American Scientific Research Journal for Engineering, Technology, and Sciences (ASRJETS</w:t>
    </w:r>
    <w:r w:rsidRPr="003B3E7E">
      <w:rPr>
        <w:rStyle w:val="Strong"/>
        <w:color w:val="111111"/>
        <w:szCs w:val="16"/>
        <w:shd w:val="clear" w:color="auto" w:fill="FFFFFF"/>
      </w:rPr>
      <w:t>)</w:t>
    </w:r>
    <w:r w:rsidRPr="003B3E7E">
      <w:rPr>
        <w:szCs w:val="16"/>
      </w:rPr>
      <w:t xml:space="preserve"> (</w:t>
    </w:r>
    <w:r w:rsidRPr="003B3E7E">
      <w:rPr>
        <w:szCs w:val="16"/>
      </w:rPr>
      <w:fldChar w:fldCharType="begin"/>
    </w:r>
    <w:r w:rsidRPr="003B3E7E">
      <w:rPr>
        <w:szCs w:val="16"/>
      </w:rPr>
      <w:instrText xml:space="preserve"> DATE \@ "yyyy" \* MERGEFORMAT </w:instrText>
    </w:r>
    <w:r w:rsidRPr="003B3E7E">
      <w:rPr>
        <w:szCs w:val="16"/>
      </w:rPr>
      <w:fldChar w:fldCharType="separate"/>
    </w:r>
    <w:r>
      <w:rPr>
        <w:szCs w:val="16"/>
      </w:rPr>
      <w:t>2017</w:t>
    </w:r>
    <w:r w:rsidRPr="003B3E7E">
      <w:rPr>
        <w:szCs w:val="16"/>
      </w:rPr>
      <w:fldChar w:fldCharType="end"/>
    </w:r>
    <w:r w:rsidRPr="003B3E7E">
      <w:rPr>
        <w:szCs w:val="16"/>
      </w:rPr>
      <w:t>) Volume 00, No  1, pp 00-00</w:t>
    </w:r>
  </w:p>
  <w:p w:rsidR="00FA3D7E" w:rsidRPr="003B3E7E" w:rsidRDefault="00FA3D7E" w:rsidP="00FF6C21">
    <w:pPr>
      <w:pStyle w:val="Header"/>
      <w:jc w:val="cent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7896"/>
      <w:docPartObj>
        <w:docPartGallery w:val="Page Numbers (Top of Page)"/>
        <w:docPartUnique/>
      </w:docPartObj>
    </w:sdtPr>
    <w:sdtContent>
      <w:p w:rsidR="00FA3D7E" w:rsidRDefault="00FA3D7E" w:rsidP="00FF6C21">
        <w:pPr>
          <w:shd w:val="clear" w:color="auto" w:fill="FFFFFF"/>
          <w:spacing w:after="0" w:line="360" w:lineRule="auto"/>
          <w:jc w:val="cente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FA3D7E" w:rsidRPr="008809FE" w:rsidTr="009B31FD">
          <w:trPr>
            <w:trHeight w:val="945"/>
          </w:trPr>
          <w:tc>
            <w:tcPr>
              <w:tcW w:w="5000" w:type="pct"/>
              <w:shd w:val="clear" w:color="auto" w:fill="E1F0FF"/>
              <w:vAlign w:val="center"/>
            </w:tcPr>
            <w:p w:rsidR="00FA3D7E" w:rsidRPr="009B31FD" w:rsidRDefault="00FA3D7E" w:rsidP="009B31FD">
              <w:pPr>
                <w:spacing w:after="0" w:line="360" w:lineRule="auto"/>
                <w:jc w:val="center"/>
                <w:rPr>
                  <w:rFonts w:ascii="Arial" w:hAnsi="Arial" w:cs="Arial"/>
                  <w:b/>
                  <w:bCs/>
                  <w:color w:val="0070C0"/>
                </w:rPr>
              </w:pPr>
              <w:r w:rsidRPr="009B31FD">
                <w:rPr>
                  <w:rFonts w:ascii="Arial" w:hAnsi="Arial" w:cs="Arial"/>
                  <w:color w:val="0070C0"/>
                </w:rPr>
                <w:t xml:space="preserve"> </w:t>
              </w:r>
              <w:r w:rsidRPr="009B31FD">
                <w:rPr>
                  <w:rFonts w:ascii="Arial" w:hAnsi="Arial" w:cs="Arial"/>
                  <w:b/>
                  <w:bCs/>
                  <w:color w:val="0070C0"/>
                </w:rPr>
                <w:t xml:space="preserve">American Scientific Research Journal for Engineering, </w:t>
              </w:r>
              <w:proofErr w:type="gramStart"/>
              <w:r w:rsidRPr="009B31FD">
                <w:rPr>
                  <w:rFonts w:ascii="Arial" w:hAnsi="Arial" w:cs="Arial"/>
                  <w:b/>
                  <w:bCs/>
                  <w:color w:val="0070C0"/>
                </w:rPr>
                <w:t>Technology,  and</w:t>
              </w:r>
              <w:proofErr w:type="gramEnd"/>
              <w:r w:rsidRPr="009B31FD">
                <w:rPr>
                  <w:rFonts w:ascii="Arial" w:hAnsi="Arial" w:cs="Arial"/>
                  <w:b/>
                  <w:bCs/>
                  <w:color w:val="0070C0"/>
                </w:rPr>
                <w:t xml:space="preserve"> Sciences  (ASRJETS)</w:t>
              </w:r>
            </w:p>
            <w:p w:rsidR="00FA3D7E" w:rsidRPr="009B31FD" w:rsidRDefault="00FA3D7E" w:rsidP="009B31F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FA3D7E" w:rsidRPr="009B31FD" w:rsidRDefault="00FA3D7E" w:rsidP="00751946">
              <w:pPr>
                <w:pStyle w:val="Header"/>
                <w:spacing w:after="0" w:line="360" w:lineRule="auto"/>
                <w:jc w:val="center"/>
                <w:rPr>
                  <w:rFonts w:ascii="Arial" w:eastAsiaTheme="minorEastAsia" w:hAnsi="Arial" w:cs="Arial"/>
                  <w:i w:val="0"/>
                  <w:noProof w:val="0"/>
                  <w:color w:val="0070C0"/>
                  <w:sz w:val="20"/>
                </w:rPr>
              </w:pPr>
              <w:r w:rsidRPr="009B31FD">
                <w:rPr>
                  <w:rFonts w:ascii="Arial" w:eastAsiaTheme="minorEastAsia" w:hAnsi="Arial" w:cs="Arial"/>
                  <w:i w:val="0"/>
                  <w:noProof w:val="0"/>
                  <w:color w:val="0070C0"/>
                  <w:sz w:val="20"/>
                </w:rPr>
                <w:t xml:space="preserve">© Global Society of Scientific Research and Researchers </w:t>
              </w:r>
            </w:p>
          </w:tc>
        </w:tr>
        <w:tr w:rsidR="00FA3D7E" w:rsidRPr="008809FE" w:rsidTr="009B31FD">
          <w:trPr>
            <w:trHeight w:val="210"/>
          </w:trPr>
          <w:tc>
            <w:tcPr>
              <w:tcW w:w="5000" w:type="pct"/>
              <w:shd w:val="clear" w:color="auto" w:fill="00B0F0"/>
              <w:vAlign w:val="center"/>
            </w:tcPr>
            <w:p w:rsidR="00FA3D7E" w:rsidRPr="009B31FD" w:rsidRDefault="00FA3D7E" w:rsidP="009B31FD">
              <w:pPr>
                <w:pStyle w:val="Els-reprint-line"/>
                <w:rPr>
                  <w:color w:val="FFFFFF" w:themeColor="background1"/>
                  <w:sz w:val="20"/>
                </w:rPr>
              </w:pPr>
              <w:hyperlink r:id="rId1" w:history="1">
                <w:r w:rsidRPr="009B31FD">
                  <w:rPr>
                    <w:rStyle w:val="Hyperlink"/>
                    <w:color w:val="FFFFFF" w:themeColor="background1"/>
                    <w:sz w:val="20"/>
                  </w:rPr>
                  <w:t>http://asrjetsjournal.org/</w:t>
                </w:r>
              </w:hyperlink>
              <w:r w:rsidRPr="009B31FD">
                <w:rPr>
                  <w:color w:val="FFFFFF" w:themeColor="background1"/>
                  <w:sz w:val="20"/>
                </w:rPr>
                <w:t xml:space="preserve"> </w:t>
              </w:r>
            </w:p>
            <w:p w:rsidR="00FA3D7E" w:rsidRPr="009B31FD" w:rsidRDefault="00FA3D7E" w:rsidP="009B31FD">
              <w:pPr>
                <w:pStyle w:val="Els-reprint-line"/>
                <w:rPr>
                  <w:color w:val="002060"/>
                </w:rPr>
              </w:pPr>
            </w:p>
          </w:tc>
        </w:tr>
      </w:tbl>
      <w:p w:rsidR="00FA3D7E" w:rsidRDefault="00FA3D7E" w:rsidP="00FF6C21">
        <w:pPr>
          <w:shd w:val="clear" w:color="auto" w:fill="FFFFFF"/>
          <w:spacing w:after="0" w:line="360" w:lineRule="auto"/>
          <w:jc w:val="center"/>
        </w:pPr>
      </w:p>
      <w:p w:rsidR="00FA3D7E" w:rsidRDefault="00FA3D7E" w:rsidP="00FF6C21">
        <w:pPr>
          <w:shd w:val="clear" w:color="auto" w:fill="FFFFFF"/>
          <w:spacing w:after="0" w:line="360" w:lineRule="auto"/>
          <w:jc w:val="center"/>
        </w:pPr>
      </w:p>
      <w:p w:rsidR="00FA3D7E" w:rsidRPr="00807DA2" w:rsidRDefault="00FA3D7E" w:rsidP="00FF6C21">
        <w:pP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712E35E9"/>
    <w:multiLevelType w:val="hybridMultilevel"/>
    <w:tmpl w:val="80002554"/>
    <w:lvl w:ilvl="0" w:tplc="7EC4C6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D0"/>
    <w:rsid w:val="00006709"/>
    <w:rsid w:val="0002002A"/>
    <w:rsid w:val="0006589F"/>
    <w:rsid w:val="00066C33"/>
    <w:rsid w:val="00074C80"/>
    <w:rsid w:val="00076AFE"/>
    <w:rsid w:val="00080B7F"/>
    <w:rsid w:val="00093D5C"/>
    <w:rsid w:val="000C17B8"/>
    <w:rsid w:val="000D38FA"/>
    <w:rsid w:val="000F0B6A"/>
    <w:rsid w:val="000F1278"/>
    <w:rsid w:val="001124FE"/>
    <w:rsid w:val="00123924"/>
    <w:rsid w:val="00152EB3"/>
    <w:rsid w:val="001578DA"/>
    <w:rsid w:val="001922F9"/>
    <w:rsid w:val="00192AD5"/>
    <w:rsid w:val="001955AC"/>
    <w:rsid w:val="001A3681"/>
    <w:rsid w:val="001A398D"/>
    <w:rsid w:val="001C12AE"/>
    <w:rsid w:val="001C3A66"/>
    <w:rsid w:val="001D3EB8"/>
    <w:rsid w:val="001D6020"/>
    <w:rsid w:val="001E6EB9"/>
    <w:rsid w:val="00215838"/>
    <w:rsid w:val="00231A9A"/>
    <w:rsid w:val="00271FAB"/>
    <w:rsid w:val="002741FB"/>
    <w:rsid w:val="002F3057"/>
    <w:rsid w:val="002F5023"/>
    <w:rsid w:val="003051CE"/>
    <w:rsid w:val="00310317"/>
    <w:rsid w:val="00311F2B"/>
    <w:rsid w:val="00320F85"/>
    <w:rsid w:val="0032110C"/>
    <w:rsid w:val="00322D7D"/>
    <w:rsid w:val="003243CD"/>
    <w:rsid w:val="00335E8F"/>
    <w:rsid w:val="00335EFC"/>
    <w:rsid w:val="003826DE"/>
    <w:rsid w:val="00397EBD"/>
    <w:rsid w:val="003A5CAF"/>
    <w:rsid w:val="003B4A9F"/>
    <w:rsid w:val="003D5C58"/>
    <w:rsid w:val="003E34F0"/>
    <w:rsid w:val="004125D0"/>
    <w:rsid w:val="0041400C"/>
    <w:rsid w:val="004217B6"/>
    <w:rsid w:val="0042744D"/>
    <w:rsid w:val="00432C25"/>
    <w:rsid w:val="004334C0"/>
    <w:rsid w:val="004739E5"/>
    <w:rsid w:val="00474138"/>
    <w:rsid w:val="00475865"/>
    <w:rsid w:val="00477C9A"/>
    <w:rsid w:val="00481FC9"/>
    <w:rsid w:val="004902F0"/>
    <w:rsid w:val="00494296"/>
    <w:rsid w:val="004A1753"/>
    <w:rsid w:val="004B0483"/>
    <w:rsid w:val="004B263F"/>
    <w:rsid w:val="004C38BF"/>
    <w:rsid w:val="004C671D"/>
    <w:rsid w:val="004D333B"/>
    <w:rsid w:val="005019F3"/>
    <w:rsid w:val="0051193D"/>
    <w:rsid w:val="00515C40"/>
    <w:rsid w:val="00517D7E"/>
    <w:rsid w:val="00521125"/>
    <w:rsid w:val="005320B2"/>
    <w:rsid w:val="005349ED"/>
    <w:rsid w:val="00553F4E"/>
    <w:rsid w:val="00590F8E"/>
    <w:rsid w:val="005A2F06"/>
    <w:rsid w:val="005B0913"/>
    <w:rsid w:val="005C0361"/>
    <w:rsid w:val="005C2B34"/>
    <w:rsid w:val="005C2D02"/>
    <w:rsid w:val="005D2DD4"/>
    <w:rsid w:val="005E155F"/>
    <w:rsid w:val="005F15AA"/>
    <w:rsid w:val="006230E3"/>
    <w:rsid w:val="00623F81"/>
    <w:rsid w:val="00624AC9"/>
    <w:rsid w:val="00632FCE"/>
    <w:rsid w:val="00642179"/>
    <w:rsid w:val="00643D95"/>
    <w:rsid w:val="0064655D"/>
    <w:rsid w:val="00651A83"/>
    <w:rsid w:val="006527FF"/>
    <w:rsid w:val="00661CB8"/>
    <w:rsid w:val="00682A74"/>
    <w:rsid w:val="006B4700"/>
    <w:rsid w:val="006C07DB"/>
    <w:rsid w:val="006C4E32"/>
    <w:rsid w:val="006C5E5E"/>
    <w:rsid w:val="006F5324"/>
    <w:rsid w:val="00712CCF"/>
    <w:rsid w:val="0072273E"/>
    <w:rsid w:val="00722B02"/>
    <w:rsid w:val="00727525"/>
    <w:rsid w:val="00751946"/>
    <w:rsid w:val="00780521"/>
    <w:rsid w:val="007A1E67"/>
    <w:rsid w:val="007A61CB"/>
    <w:rsid w:val="007C444E"/>
    <w:rsid w:val="007E5E79"/>
    <w:rsid w:val="007F112B"/>
    <w:rsid w:val="00834130"/>
    <w:rsid w:val="00836259"/>
    <w:rsid w:val="0085099E"/>
    <w:rsid w:val="008515E2"/>
    <w:rsid w:val="008664F4"/>
    <w:rsid w:val="00872A85"/>
    <w:rsid w:val="008B0A40"/>
    <w:rsid w:val="008C0FF8"/>
    <w:rsid w:val="008C3856"/>
    <w:rsid w:val="008E127E"/>
    <w:rsid w:val="008E5F00"/>
    <w:rsid w:val="008F2CFF"/>
    <w:rsid w:val="008F7B0D"/>
    <w:rsid w:val="008F7F4A"/>
    <w:rsid w:val="00911F47"/>
    <w:rsid w:val="009206D1"/>
    <w:rsid w:val="00927C22"/>
    <w:rsid w:val="009316B4"/>
    <w:rsid w:val="00954489"/>
    <w:rsid w:val="00956CF6"/>
    <w:rsid w:val="00965DBB"/>
    <w:rsid w:val="00977E07"/>
    <w:rsid w:val="009812BB"/>
    <w:rsid w:val="009B31FD"/>
    <w:rsid w:val="009B732C"/>
    <w:rsid w:val="009E2796"/>
    <w:rsid w:val="009E299E"/>
    <w:rsid w:val="009E69F7"/>
    <w:rsid w:val="009F01D0"/>
    <w:rsid w:val="009F4556"/>
    <w:rsid w:val="00A117AA"/>
    <w:rsid w:val="00A158FD"/>
    <w:rsid w:val="00A3761D"/>
    <w:rsid w:val="00A523AF"/>
    <w:rsid w:val="00A533BF"/>
    <w:rsid w:val="00A90BFB"/>
    <w:rsid w:val="00AC6276"/>
    <w:rsid w:val="00AD12B9"/>
    <w:rsid w:val="00AD1B8E"/>
    <w:rsid w:val="00AD6827"/>
    <w:rsid w:val="00AE530A"/>
    <w:rsid w:val="00AE5A82"/>
    <w:rsid w:val="00B140BE"/>
    <w:rsid w:val="00B22926"/>
    <w:rsid w:val="00B46005"/>
    <w:rsid w:val="00B72492"/>
    <w:rsid w:val="00B74FCB"/>
    <w:rsid w:val="00B77D3E"/>
    <w:rsid w:val="00B91012"/>
    <w:rsid w:val="00BA19B3"/>
    <w:rsid w:val="00BA4792"/>
    <w:rsid w:val="00BA7884"/>
    <w:rsid w:val="00BB5039"/>
    <w:rsid w:val="00BD7607"/>
    <w:rsid w:val="00C446C4"/>
    <w:rsid w:val="00C45DA3"/>
    <w:rsid w:val="00C51A04"/>
    <w:rsid w:val="00C54873"/>
    <w:rsid w:val="00C64CAE"/>
    <w:rsid w:val="00C65869"/>
    <w:rsid w:val="00C74586"/>
    <w:rsid w:val="00C7613B"/>
    <w:rsid w:val="00C878A2"/>
    <w:rsid w:val="00C947A3"/>
    <w:rsid w:val="00CB411F"/>
    <w:rsid w:val="00CC0278"/>
    <w:rsid w:val="00CD4ED7"/>
    <w:rsid w:val="00CE74E6"/>
    <w:rsid w:val="00CF0234"/>
    <w:rsid w:val="00CF5DDA"/>
    <w:rsid w:val="00D23670"/>
    <w:rsid w:val="00D67BC4"/>
    <w:rsid w:val="00D90ACB"/>
    <w:rsid w:val="00DA314E"/>
    <w:rsid w:val="00DA5C68"/>
    <w:rsid w:val="00DB432C"/>
    <w:rsid w:val="00DB7ADF"/>
    <w:rsid w:val="00DC3A54"/>
    <w:rsid w:val="00DE6BAE"/>
    <w:rsid w:val="00E12F3B"/>
    <w:rsid w:val="00E368FA"/>
    <w:rsid w:val="00E4031E"/>
    <w:rsid w:val="00E411B6"/>
    <w:rsid w:val="00E47F9B"/>
    <w:rsid w:val="00E755BE"/>
    <w:rsid w:val="00E84AE1"/>
    <w:rsid w:val="00E904F3"/>
    <w:rsid w:val="00EA0A06"/>
    <w:rsid w:val="00EB082F"/>
    <w:rsid w:val="00ED1F1C"/>
    <w:rsid w:val="00ED377C"/>
    <w:rsid w:val="00ED4721"/>
    <w:rsid w:val="00ED4987"/>
    <w:rsid w:val="00ED6660"/>
    <w:rsid w:val="00EF78CA"/>
    <w:rsid w:val="00F038BE"/>
    <w:rsid w:val="00F11C48"/>
    <w:rsid w:val="00F20FF6"/>
    <w:rsid w:val="00F26239"/>
    <w:rsid w:val="00F75F9D"/>
    <w:rsid w:val="00F831E4"/>
    <w:rsid w:val="00F9284C"/>
    <w:rsid w:val="00FA2E54"/>
    <w:rsid w:val="00FA3D7E"/>
    <w:rsid w:val="00FE50E7"/>
    <w:rsid w:val="00FE7678"/>
    <w:rsid w:val="00FF5930"/>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225E7"/>
  <w15:docId w15:val="{CEE4EF16-5B10-4941-9078-EA2A4121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uiPriority w:val="99"/>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uiPriority w:val="99"/>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styleId="UnresolvedMention">
    <w:name w:val="Unresolved Mention"/>
    <w:basedOn w:val="DefaultParagraphFont"/>
    <w:uiPriority w:val="99"/>
    <w:semiHidden/>
    <w:unhideWhenUsed/>
    <w:rsid w:val="002741FB"/>
    <w:rPr>
      <w:color w:val="808080"/>
      <w:shd w:val="clear" w:color="auto" w:fill="E6E6E6"/>
    </w:rPr>
  </w:style>
  <w:style w:type="paragraph" w:customStyle="1" w:styleId="DecimalAligned">
    <w:name w:val="Decimal Aligned"/>
    <w:basedOn w:val="Normal"/>
    <w:uiPriority w:val="40"/>
    <w:qFormat/>
    <w:rsid w:val="00F20FF6"/>
    <w:pPr>
      <w:tabs>
        <w:tab w:val="decimal" w:pos="360"/>
      </w:tabs>
    </w:pPr>
    <w:rPr>
      <w:rFonts w:cs="Times New Roman"/>
    </w:rPr>
  </w:style>
  <w:style w:type="character" w:styleId="SubtleEmphasis">
    <w:name w:val="Subtle Emphasis"/>
    <w:basedOn w:val="DefaultParagraphFont"/>
    <w:uiPriority w:val="19"/>
    <w:qFormat/>
    <w:rsid w:val="00F20FF6"/>
    <w:rPr>
      <w:i/>
      <w:iCs/>
    </w:rPr>
  </w:style>
  <w:style w:type="table" w:styleId="LightShading-Accent1">
    <w:name w:val="Light Shading Accent 1"/>
    <w:basedOn w:val="TableNormal"/>
    <w:uiPriority w:val="60"/>
    <w:rsid w:val="00F20F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AA7D-5D43-4CB5-8A6D-D070B72A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2545</Words>
  <Characters>14508</Characters>
  <Application>Microsoft Office Word</Application>
  <DocSecurity>0</DocSecurity>
  <Lines>120</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Putu Angga Risky Raharja</cp:lastModifiedBy>
  <cp:revision>2</cp:revision>
  <dcterms:created xsi:type="dcterms:W3CDTF">2017-07-20T12:47:00Z</dcterms:created>
  <dcterms:modified xsi:type="dcterms:W3CDTF">2017-07-20T12:47:00Z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f76740f4-cdbf-31b2-a97a-c4372ad55833</vt:lpwstr>
  </property>
</Properties>
</file>