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31A" w:rsidRDefault="003F331A" w:rsidP="003F331A">
      <w:pPr>
        <w:spacing w:line="360" w:lineRule="auto"/>
        <w:jc w:val="center"/>
        <w:rPr>
          <w:rFonts w:ascii="Times New Roman" w:hAnsi="Times New Roman" w:cs="Times New Roman"/>
          <w:b/>
          <w:sz w:val="36"/>
          <w:szCs w:val="36"/>
        </w:rPr>
      </w:pPr>
      <w:r>
        <w:rPr>
          <w:rFonts w:ascii="Times New Roman" w:hAnsi="Times New Roman" w:cs="Times New Roman"/>
          <w:b/>
          <w:sz w:val="36"/>
          <w:szCs w:val="36"/>
        </w:rPr>
        <w:t xml:space="preserve">Study on the </w:t>
      </w:r>
      <w:r w:rsidRPr="003F331A">
        <w:rPr>
          <w:rFonts w:ascii="Times New Roman" w:hAnsi="Times New Roman" w:cs="Times New Roman"/>
          <w:b/>
          <w:sz w:val="36"/>
          <w:szCs w:val="36"/>
        </w:rPr>
        <w:t>Treatment of Liquid Waste from Rare Earth Processing by Chemical Precipitation</w:t>
      </w:r>
    </w:p>
    <w:p w:rsidR="008C11CB" w:rsidRDefault="004E6B20" w:rsidP="008C11CB">
      <w:pPr>
        <w:spacing w:line="360" w:lineRule="auto"/>
        <w:jc w:val="center"/>
        <w:rPr>
          <w:rFonts w:ascii="Times New Roman" w:hAnsi="Times New Roman" w:cs="Times New Roman"/>
          <w:sz w:val="28"/>
          <w:szCs w:val="28"/>
        </w:rPr>
      </w:pPr>
      <w:r>
        <w:rPr>
          <w:rFonts w:ascii="Times New Roman" w:hAnsi="Times New Roman" w:cs="Times New Roman"/>
          <w:sz w:val="28"/>
          <w:szCs w:val="28"/>
        </w:rPr>
        <w:t>Tin Moe H</w:t>
      </w:r>
      <w:r w:rsidR="003F331A" w:rsidRPr="003F331A">
        <w:rPr>
          <w:rFonts w:ascii="Times New Roman" w:hAnsi="Times New Roman" w:cs="Times New Roman"/>
          <w:sz w:val="28"/>
          <w:szCs w:val="28"/>
        </w:rPr>
        <w:t>l</w:t>
      </w:r>
      <w:r>
        <w:rPr>
          <w:rFonts w:ascii="Times New Roman" w:hAnsi="Times New Roman" w:cs="Times New Roman"/>
          <w:sz w:val="28"/>
          <w:szCs w:val="28"/>
        </w:rPr>
        <w:t>a</w:t>
      </w:r>
      <w:r w:rsidR="003F331A" w:rsidRPr="003F331A">
        <w:rPr>
          <w:rFonts w:ascii="Times New Roman" w:hAnsi="Times New Roman" w:cs="Times New Roman"/>
          <w:sz w:val="28"/>
          <w:szCs w:val="28"/>
        </w:rPr>
        <w:t>ing</w:t>
      </w:r>
      <w:r w:rsidR="003F331A">
        <w:rPr>
          <w:rFonts w:ascii="Times New Roman" w:hAnsi="Times New Roman" w:cs="Times New Roman"/>
          <w:sz w:val="28"/>
          <w:szCs w:val="28"/>
          <w:vertAlign w:val="superscript"/>
        </w:rPr>
        <w:t>a</w:t>
      </w:r>
      <w:r w:rsidR="003F331A" w:rsidRPr="00D534D4">
        <w:rPr>
          <w:rFonts w:ascii="Times New Roman" w:hAnsi="Times New Roman" w:cs="Times New Roman"/>
          <w:sz w:val="28"/>
          <w:szCs w:val="28"/>
        </w:rPr>
        <w:t>*</w:t>
      </w:r>
      <w:r w:rsidR="003F331A" w:rsidRPr="003F331A">
        <w:rPr>
          <w:rFonts w:ascii="Times New Roman" w:hAnsi="Times New Roman" w:cs="Times New Roman"/>
          <w:sz w:val="28"/>
          <w:szCs w:val="28"/>
        </w:rPr>
        <w:t>,</w:t>
      </w:r>
      <w:r w:rsidR="006978F7">
        <w:rPr>
          <w:rFonts w:ascii="Times New Roman" w:hAnsi="Times New Roman" w:cs="Times New Roman"/>
          <w:sz w:val="28"/>
          <w:szCs w:val="28"/>
        </w:rPr>
        <w:t xml:space="preserve"> </w:t>
      </w:r>
      <w:r w:rsidR="003F331A" w:rsidRPr="003F331A">
        <w:rPr>
          <w:rFonts w:ascii="Times New Roman" w:hAnsi="Times New Roman" w:cs="Times New Roman"/>
          <w:sz w:val="28"/>
          <w:szCs w:val="28"/>
        </w:rPr>
        <w:t>Aye Thi Tar</w:t>
      </w:r>
      <w:r w:rsidR="003F331A">
        <w:rPr>
          <w:rFonts w:ascii="Times New Roman" w:hAnsi="Times New Roman" w:cs="Times New Roman"/>
          <w:sz w:val="28"/>
          <w:szCs w:val="28"/>
          <w:vertAlign w:val="superscript"/>
        </w:rPr>
        <w:t>b</w:t>
      </w:r>
      <w:r w:rsidR="008C11CB" w:rsidRPr="003F331A">
        <w:rPr>
          <w:rFonts w:ascii="Times New Roman" w:hAnsi="Times New Roman" w:cs="Times New Roman"/>
          <w:sz w:val="28"/>
          <w:szCs w:val="28"/>
        </w:rPr>
        <w:t xml:space="preserve">, </w:t>
      </w:r>
      <w:r w:rsidR="008C11CB">
        <w:rPr>
          <w:rFonts w:ascii="Times New Roman" w:hAnsi="Times New Roman" w:cs="Times New Roman"/>
          <w:sz w:val="28"/>
          <w:szCs w:val="28"/>
        </w:rPr>
        <w:t>Thant Zin Myo</w:t>
      </w:r>
      <w:r w:rsidR="008C11CB" w:rsidRPr="008C11CB">
        <w:rPr>
          <w:rFonts w:ascii="Times New Roman" w:hAnsi="Times New Roman" w:cs="Times New Roman"/>
          <w:sz w:val="28"/>
          <w:szCs w:val="28"/>
          <w:vertAlign w:val="superscript"/>
        </w:rPr>
        <w:t>c</w:t>
      </w:r>
      <w:r w:rsidR="008C11CB">
        <w:rPr>
          <w:rFonts w:ascii="Times New Roman" w:hAnsi="Times New Roman" w:cs="Times New Roman"/>
          <w:sz w:val="28"/>
          <w:szCs w:val="28"/>
        </w:rPr>
        <w:t xml:space="preserve"> </w:t>
      </w:r>
    </w:p>
    <w:p w:rsidR="006978F7" w:rsidRDefault="003F331A" w:rsidP="006978F7">
      <w:pPr>
        <w:spacing w:line="360" w:lineRule="auto"/>
        <w:jc w:val="center"/>
        <w:rPr>
          <w:rFonts w:ascii="Times New Roman" w:hAnsi="Times New Roman" w:cs="Times New Roman"/>
          <w:i/>
          <w:sz w:val="20"/>
          <w:szCs w:val="20"/>
        </w:rPr>
      </w:pPr>
      <w:r w:rsidRPr="003F331A">
        <w:rPr>
          <w:rFonts w:ascii="Times New Roman" w:hAnsi="Times New Roman" w:cs="Times New Roman"/>
          <w:i/>
          <w:sz w:val="20"/>
          <w:szCs w:val="20"/>
          <w:vertAlign w:val="superscript"/>
        </w:rPr>
        <w:t>a,b</w:t>
      </w:r>
      <w:r w:rsidR="008C11CB">
        <w:rPr>
          <w:rFonts w:ascii="Times New Roman" w:hAnsi="Times New Roman" w:cs="Times New Roman"/>
          <w:i/>
          <w:sz w:val="20"/>
          <w:szCs w:val="20"/>
          <w:vertAlign w:val="superscript"/>
        </w:rPr>
        <w:t>,c</w:t>
      </w:r>
      <w:r w:rsidRPr="00C87A0A">
        <w:rPr>
          <w:rFonts w:ascii="Times New Roman" w:hAnsi="Times New Roman" w:cs="Times New Roman"/>
          <w:i/>
          <w:sz w:val="20"/>
          <w:szCs w:val="20"/>
        </w:rPr>
        <w:t>Mate</w:t>
      </w:r>
      <w:r>
        <w:rPr>
          <w:rFonts w:ascii="Times New Roman" w:hAnsi="Times New Roman" w:cs="Times New Roman"/>
          <w:i/>
          <w:sz w:val="20"/>
          <w:szCs w:val="20"/>
        </w:rPr>
        <w:t xml:space="preserve">rial Science Research Division, Department of Research and Innovation, </w:t>
      </w:r>
      <w:r w:rsidRPr="00C87A0A">
        <w:rPr>
          <w:rFonts w:ascii="Times New Roman" w:hAnsi="Times New Roman" w:cs="Times New Roman"/>
          <w:i/>
          <w:sz w:val="20"/>
          <w:szCs w:val="20"/>
        </w:rPr>
        <w:t>Ministry of Education</w:t>
      </w:r>
      <w:r>
        <w:rPr>
          <w:rFonts w:ascii="Times New Roman" w:hAnsi="Times New Roman" w:cs="Times New Roman"/>
          <w:i/>
          <w:sz w:val="20"/>
          <w:szCs w:val="20"/>
        </w:rPr>
        <w:t xml:space="preserve">, </w:t>
      </w:r>
    </w:p>
    <w:p w:rsidR="003F331A" w:rsidRDefault="003F331A" w:rsidP="006978F7">
      <w:pPr>
        <w:spacing w:line="360" w:lineRule="auto"/>
        <w:jc w:val="center"/>
        <w:rPr>
          <w:rFonts w:ascii="Times New Roman" w:hAnsi="Times New Roman" w:cs="Times New Roman"/>
          <w:i/>
          <w:sz w:val="20"/>
          <w:szCs w:val="20"/>
        </w:rPr>
      </w:pPr>
      <w:r>
        <w:rPr>
          <w:rFonts w:ascii="Times New Roman" w:hAnsi="Times New Roman" w:cs="Times New Roman"/>
          <w:i/>
          <w:sz w:val="20"/>
          <w:szCs w:val="20"/>
        </w:rPr>
        <w:t xml:space="preserve">The Republic of the </w:t>
      </w:r>
      <w:r w:rsidR="00E5401E">
        <w:rPr>
          <w:rFonts w:ascii="Times New Roman" w:hAnsi="Times New Roman" w:cs="Times New Roman"/>
          <w:i/>
          <w:sz w:val="20"/>
          <w:szCs w:val="20"/>
        </w:rPr>
        <w:t>Union of Myanmar</w:t>
      </w:r>
    </w:p>
    <w:p w:rsidR="00E5401E" w:rsidRPr="00E5401E" w:rsidRDefault="00E5401E" w:rsidP="006978F7">
      <w:pPr>
        <w:spacing w:after="60" w:line="360" w:lineRule="auto"/>
        <w:jc w:val="center"/>
        <w:rPr>
          <w:rFonts w:ascii="Times New Roman" w:hAnsi="Times New Roman" w:cs="Times New Roman"/>
          <w:i/>
          <w:sz w:val="20"/>
          <w:szCs w:val="20"/>
        </w:rPr>
      </w:pPr>
      <w:r w:rsidRPr="00E5401E">
        <w:rPr>
          <w:rFonts w:ascii="Times New Roman" w:hAnsi="Times New Roman" w:cs="Times New Roman"/>
          <w:i/>
          <w:sz w:val="20"/>
          <w:szCs w:val="20"/>
          <w:vertAlign w:val="superscript"/>
        </w:rPr>
        <w:t>a</w:t>
      </w:r>
      <w:r w:rsidR="008C11CB">
        <w:rPr>
          <w:rFonts w:ascii="Times New Roman" w:hAnsi="Times New Roman" w:cs="Times New Roman"/>
          <w:i/>
          <w:sz w:val="20"/>
          <w:szCs w:val="20"/>
        </w:rPr>
        <w:t>tmh001@gmail</w:t>
      </w:r>
      <w:r w:rsidR="006978F7">
        <w:rPr>
          <w:rFonts w:ascii="Times New Roman" w:hAnsi="Times New Roman" w:cs="Times New Roman"/>
          <w:i/>
          <w:sz w:val="20"/>
          <w:szCs w:val="20"/>
        </w:rPr>
        <w:t>.com</w:t>
      </w:r>
    </w:p>
    <w:p w:rsidR="008C11CB" w:rsidRPr="006978F7" w:rsidRDefault="00E5401E" w:rsidP="006978F7">
      <w:pPr>
        <w:spacing w:after="60" w:line="360" w:lineRule="auto"/>
        <w:jc w:val="center"/>
        <w:rPr>
          <w:rFonts w:ascii="Times New Roman" w:hAnsi="Times New Roman" w:cs="Times New Roman"/>
          <w:i/>
          <w:sz w:val="20"/>
          <w:szCs w:val="20"/>
        </w:rPr>
      </w:pPr>
      <w:r w:rsidRPr="00E5401E">
        <w:rPr>
          <w:rFonts w:ascii="Times New Roman" w:hAnsi="Times New Roman" w:cs="Times New Roman"/>
          <w:i/>
          <w:sz w:val="20"/>
          <w:szCs w:val="20"/>
        </w:rPr>
        <w:t xml:space="preserve"> </w:t>
      </w:r>
      <w:hyperlink r:id="rId8" w:history="1">
        <w:r w:rsidR="008C11CB" w:rsidRPr="00AD3C08">
          <w:rPr>
            <w:rStyle w:val="Hyperlink"/>
            <w:rFonts w:ascii="Times New Roman" w:hAnsi="Times New Roman" w:cs="Times New Roman"/>
            <w:i/>
            <w:sz w:val="20"/>
            <w:szCs w:val="20"/>
            <w:vertAlign w:val="superscript"/>
          </w:rPr>
          <w:t>b</w:t>
        </w:r>
        <w:r w:rsidR="008C11CB" w:rsidRPr="00AD3C08">
          <w:rPr>
            <w:rStyle w:val="Hyperlink"/>
            <w:rFonts w:ascii="Times New Roman" w:hAnsi="Times New Roman" w:cs="Times New Roman"/>
            <w:i/>
            <w:sz w:val="20"/>
            <w:szCs w:val="20"/>
          </w:rPr>
          <w:t>dr.ayethitar@gmail</w:t>
        </w:r>
      </w:hyperlink>
      <w:r w:rsidR="006978F7">
        <w:rPr>
          <w:rFonts w:ascii="Times New Roman" w:hAnsi="Times New Roman" w:cs="Times New Roman"/>
          <w:i/>
          <w:sz w:val="20"/>
          <w:szCs w:val="20"/>
        </w:rPr>
        <w:t>.com</w:t>
      </w:r>
    </w:p>
    <w:p w:rsidR="00E5401E" w:rsidRPr="00E5401E" w:rsidRDefault="008C11CB" w:rsidP="006978F7">
      <w:pPr>
        <w:spacing w:after="60" w:line="360" w:lineRule="auto"/>
        <w:jc w:val="center"/>
        <w:rPr>
          <w:rFonts w:ascii="Times New Roman" w:hAnsi="Times New Roman" w:cs="Times New Roman"/>
          <w:i/>
          <w:sz w:val="20"/>
          <w:szCs w:val="20"/>
        </w:rPr>
      </w:pPr>
      <w:r w:rsidRPr="008C11CB">
        <w:rPr>
          <w:rFonts w:ascii="Times New Roman" w:hAnsi="Times New Roman" w:cs="Times New Roman"/>
          <w:i/>
          <w:sz w:val="20"/>
          <w:szCs w:val="20"/>
          <w:vertAlign w:val="superscript"/>
        </w:rPr>
        <w:t>c</w:t>
      </w:r>
      <w:r>
        <w:rPr>
          <w:rFonts w:ascii="Times New Roman" w:hAnsi="Times New Roman" w:cs="Times New Roman"/>
          <w:i/>
          <w:sz w:val="20"/>
          <w:szCs w:val="20"/>
        </w:rPr>
        <w:t>dr.thantzinmyo@gmail</w:t>
      </w:r>
      <w:r w:rsidR="006978F7">
        <w:rPr>
          <w:rFonts w:ascii="Times New Roman" w:hAnsi="Times New Roman" w:cs="Times New Roman"/>
          <w:i/>
          <w:sz w:val="20"/>
          <w:szCs w:val="20"/>
        </w:rPr>
        <w:t>.com</w:t>
      </w:r>
      <w:r w:rsidR="00E5401E" w:rsidRPr="00E5401E">
        <w:rPr>
          <w:rFonts w:ascii="Times New Roman" w:hAnsi="Times New Roman" w:cs="Times New Roman"/>
          <w:i/>
          <w:sz w:val="20"/>
          <w:szCs w:val="20"/>
        </w:rPr>
        <w:t xml:space="preserve"> </w:t>
      </w:r>
    </w:p>
    <w:p w:rsidR="00780521" w:rsidRPr="004E0547" w:rsidRDefault="00780521" w:rsidP="00780521">
      <w:pPr>
        <w:pStyle w:val="Els-Affiliation"/>
        <w:spacing w:before="100" w:beforeAutospacing="1" w:after="100" w:afterAutospacing="1" w:line="360" w:lineRule="auto"/>
        <w:jc w:val="left"/>
        <w:rPr>
          <w:rFonts w:asciiTheme="majorBidi" w:hAnsiTheme="majorBidi" w:cstheme="majorBidi"/>
          <w:b/>
          <w:bCs/>
          <w:i w:val="0"/>
          <w:iCs/>
          <w:sz w:val="20"/>
        </w:rPr>
      </w:pPr>
      <w:r w:rsidRPr="004E0547">
        <w:rPr>
          <w:rFonts w:asciiTheme="majorBidi" w:hAnsiTheme="majorBidi" w:cstheme="majorBidi"/>
          <w:b/>
          <w:bCs/>
          <w:i w:val="0"/>
          <w:iCs/>
          <w:sz w:val="20"/>
        </w:rPr>
        <w:t>Abstract</w:t>
      </w:r>
    </w:p>
    <w:p w:rsidR="00EE0BA4" w:rsidRPr="00EE0BA4" w:rsidRDefault="00EE0BA4" w:rsidP="00EE0BA4">
      <w:pPr>
        <w:spacing w:line="360" w:lineRule="auto"/>
        <w:jc w:val="both"/>
        <w:rPr>
          <w:rFonts w:ascii="Times New Roman" w:hAnsi="Times New Roman" w:cs="Times New Roman"/>
          <w:color w:val="000000" w:themeColor="text1"/>
          <w:sz w:val="20"/>
          <w:szCs w:val="20"/>
        </w:rPr>
      </w:pPr>
      <w:r w:rsidRPr="00EE0BA4">
        <w:rPr>
          <w:rFonts w:ascii="Times New Roman" w:hAnsi="Times New Roman" w:cs="Times New Roman"/>
          <w:sz w:val="20"/>
          <w:szCs w:val="20"/>
        </w:rPr>
        <w:t>This paper describes treatment of liquid waste from rare earth processing by chemical precipitation.</w:t>
      </w:r>
      <w:r w:rsidRPr="00EE0BA4">
        <w:rPr>
          <w:rFonts w:ascii="Times New Roman" w:hAnsi="Times New Roman"/>
          <w:bCs/>
          <w:sz w:val="20"/>
          <w:szCs w:val="20"/>
        </w:rPr>
        <w:t xml:space="preserve"> </w:t>
      </w:r>
      <w:r w:rsidRPr="00EE0BA4">
        <w:rPr>
          <w:rFonts w:ascii="Times New Roman" w:hAnsi="Times New Roman" w:cs="Times New Roman"/>
          <w:sz w:val="20"/>
          <w:szCs w:val="20"/>
        </w:rPr>
        <w:t xml:space="preserve">Monazite ore from Moemeik Myitsone area was used as raw material for rare earth processing. Large amount of solid and liquid wastes were generated after rare earth oxide processing. Solid waste was stored in the storage tanks and liquid waste needed further treatment before discharges to the environment. </w:t>
      </w:r>
      <w:r w:rsidRPr="00EE0BA4">
        <w:rPr>
          <w:rFonts w:ascii="Times New Roman" w:eastAsia="Times New Roman" w:hAnsi="Times New Roman" w:cs="Times New Roman"/>
          <w:color w:val="000000" w:themeColor="text1"/>
          <w:sz w:val="20"/>
          <w:szCs w:val="20"/>
        </w:rPr>
        <w:t xml:space="preserve">Research process serves the purpose of reducing the volume of the waste as much as possible to protect men and the environment from any undesirable effects for the present and future generation. Treatment methods are selected based on the composition, quantity and form of the waste materials. The used method is chemical precipitation method. For liquid waste treatment, </w:t>
      </w:r>
      <w:r w:rsidRPr="00EE0BA4">
        <w:rPr>
          <w:rFonts w:ascii="Times New Roman" w:hAnsi="Times New Roman" w:cs="Times New Roman"/>
          <w:sz w:val="20"/>
          <w:szCs w:val="20"/>
        </w:rPr>
        <w:t xml:space="preserve">the most coagulation treatment used is the Fe </w:t>
      </w:r>
      <w:r w:rsidRPr="00D534D4">
        <w:rPr>
          <w:rFonts w:ascii="Times New Roman" w:hAnsi="Times New Roman" w:cs="Times New Roman"/>
          <w:sz w:val="20"/>
          <w:szCs w:val="20"/>
          <w:vertAlign w:val="superscript"/>
        </w:rPr>
        <w:t xml:space="preserve">+++ </w:t>
      </w:r>
      <w:r w:rsidRPr="00EE0BA4">
        <w:rPr>
          <w:rFonts w:ascii="Times New Roman" w:hAnsi="Times New Roman" w:cs="Times New Roman"/>
          <w:sz w:val="20"/>
          <w:szCs w:val="20"/>
        </w:rPr>
        <w:t>co-precipitation followed by settling, decantation and filtration of the supernatant liquid. The efficiency of the process can be improved by careful control of the pH and the settling the decantation procedure. The sludge was filtered, dried in oven and collected in plastic bags and temporary stored in 100 liters plastic drums.   Finally all of the</w:t>
      </w:r>
      <w:r w:rsidR="00E103F7">
        <w:rPr>
          <w:rFonts w:ascii="Times New Roman" w:hAnsi="Times New Roman" w:cs="Times New Roman"/>
          <w:sz w:val="20"/>
          <w:szCs w:val="20"/>
        </w:rPr>
        <w:t xml:space="preserve"> </w:t>
      </w:r>
      <w:r w:rsidR="00E103F7" w:rsidRPr="00EE0BA4">
        <w:rPr>
          <w:rFonts w:ascii="Times New Roman" w:hAnsi="Times New Roman" w:cs="Times New Roman"/>
          <w:sz w:val="20"/>
          <w:szCs w:val="20"/>
        </w:rPr>
        <w:t>decontaminated</w:t>
      </w:r>
      <w:r w:rsidRPr="00EE0BA4">
        <w:rPr>
          <w:rFonts w:ascii="Times New Roman" w:hAnsi="Times New Roman" w:cs="Times New Roman"/>
          <w:sz w:val="20"/>
          <w:szCs w:val="20"/>
        </w:rPr>
        <w:t xml:space="preserve"> effluents are safety discharged to the environment. All of the experiments were analyzed by the X- ray Fluorescence Spectrometer (XRF).</w:t>
      </w:r>
      <w:r>
        <w:rPr>
          <w:rFonts w:ascii="Times New Roman" w:hAnsi="Times New Roman" w:cs="Times New Roman"/>
          <w:sz w:val="20"/>
          <w:szCs w:val="20"/>
        </w:rPr>
        <w:t xml:space="preserve"> Before treatment   thorium contained (</w:t>
      </w:r>
      <w:r>
        <w:rPr>
          <w:rFonts w:ascii="RomanD" w:hAnsi="RomanD" w:cs="RomanD"/>
          <w:sz w:val="20"/>
          <w:szCs w:val="20"/>
        </w:rPr>
        <w:t>&lt;</w:t>
      </w:r>
      <w:r>
        <w:rPr>
          <w:rFonts w:ascii="Times New Roman" w:hAnsi="Times New Roman" w:cs="Times New Roman"/>
          <w:sz w:val="20"/>
          <w:szCs w:val="20"/>
        </w:rPr>
        <w:t>2000 ppm) and uran</w:t>
      </w:r>
      <w:r w:rsidR="00405DC9">
        <w:rPr>
          <w:rFonts w:ascii="Times New Roman" w:hAnsi="Times New Roman" w:cs="Times New Roman"/>
          <w:sz w:val="20"/>
          <w:szCs w:val="20"/>
        </w:rPr>
        <w:t>ium contained (&lt; 3</w:t>
      </w:r>
      <w:r w:rsidR="00E103F7">
        <w:rPr>
          <w:rFonts w:ascii="Times New Roman" w:hAnsi="Times New Roman" w:cs="Times New Roman"/>
          <w:sz w:val="20"/>
          <w:szCs w:val="20"/>
        </w:rPr>
        <w:t>00 ppm) range and t</w:t>
      </w:r>
      <w:r>
        <w:rPr>
          <w:rFonts w:ascii="Times New Roman" w:hAnsi="Times New Roman" w:cs="Times New Roman"/>
          <w:sz w:val="20"/>
          <w:szCs w:val="20"/>
        </w:rPr>
        <w:t>his is in the low level waste. After treatment result in</w:t>
      </w:r>
      <w:r w:rsidR="00812497">
        <w:rPr>
          <w:rFonts w:ascii="Times New Roman" w:hAnsi="Times New Roman" w:cs="Times New Roman"/>
          <w:sz w:val="20"/>
          <w:szCs w:val="20"/>
        </w:rPr>
        <w:t xml:space="preserve"> decant water gives uranium (&lt; 1 ppm) and thorium (&lt; 10</w:t>
      </w:r>
      <w:r>
        <w:rPr>
          <w:rFonts w:ascii="Times New Roman" w:hAnsi="Times New Roman" w:cs="Times New Roman"/>
          <w:sz w:val="20"/>
          <w:szCs w:val="20"/>
        </w:rPr>
        <w:t xml:space="preserve"> ppm). According to the threshold limits for the UK radioactive classification system,   liquid waste from rare earth processing was less than (0.4 Bq/g) and this range is in exempt waste and can be discharge to drain and to the environment safety. </w:t>
      </w:r>
      <w:r w:rsidRPr="00EE0BA4">
        <w:rPr>
          <w:rFonts w:ascii="Times New Roman" w:eastAsia="Times New Roman" w:hAnsi="Times New Roman" w:cs="Times New Roman"/>
          <w:color w:val="000000" w:themeColor="text1"/>
          <w:sz w:val="20"/>
          <w:szCs w:val="20"/>
        </w:rPr>
        <w:t>The safety regime was in place and improved simultaneously by survey monitoring by using Alert Monitor 4 meter Scale in USV/H.</w:t>
      </w:r>
    </w:p>
    <w:p w:rsidR="00EE0BA4" w:rsidRDefault="00EE0BA4" w:rsidP="00EE0BA4">
      <w:pPr>
        <w:spacing w:after="60" w:line="360" w:lineRule="auto"/>
        <w:jc w:val="both"/>
        <w:rPr>
          <w:rFonts w:ascii="Times New Roman" w:hAnsi="Times New Roman" w:cs="Times New Roman"/>
          <w:sz w:val="20"/>
          <w:szCs w:val="20"/>
        </w:rPr>
      </w:pPr>
      <w:r w:rsidRPr="00DB0868">
        <w:rPr>
          <w:rFonts w:ascii="Times New Roman" w:hAnsi="Times New Roman" w:cs="Times New Roman"/>
          <w:b/>
          <w:i/>
          <w:sz w:val="20"/>
          <w:szCs w:val="20"/>
        </w:rPr>
        <w:t>Keyword</w:t>
      </w:r>
      <w:r w:rsidR="00DB0868">
        <w:rPr>
          <w:rFonts w:ascii="Times New Roman" w:hAnsi="Times New Roman" w:cs="Times New Roman"/>
          <w:b/>
          <w:i/>
          <w:sz w:val="20"/>
          <w:szCs w:val="20"/>
        </w:rPr>
        <w:t xml:space="preserve">s : </w:t>
      </w:r>
      <w:r w:rsidRPr="00EE0BA4">
        <w:rPr>
          <w:rFonts w:ascii="Times New Roman" w:hAnsi="Times New Roman" w:cs="Times New Roman"/>
          <w:sz w:val="20"/>
          <w:szCs w:val="20"/>
        </w:rPr>
        <w:t>rare earth processi</w:t>
      </w:r>
      <w:r w:rsidR="006978F7">
        <w:rPr>
          <w:rFonts w:ascii="Times New Roman" w:hAnsi="Times New Roman" w:cs="Times New Roman"/>
          <w:sz w:val="20"/>
          <w:szCs w:val="20"/>
        </w:rPr>
        <w:t>ng; chemical precipitation;</w:t>
      </w:r>
      <w:r w:rsidRPr="00EE0BA4">
        <w:rPr>
          <w:rFonts w:ascii="Times New Roman" w:hAnsi="Times New Roman" w:cs="Times New Roman"/>
          <w:sz w:val="20"/>
          <w:szCs w:val="20"/>
        </w:rPr>
        <w:t xml:space="preserve"> c</w:t>
      </w:r>
      <w:r w:rsidR="00E103F7">
        <w:rPr>
          <w:rFonts w:ascii="Times New Roman" w:hAnsi="Times New Roman" w:cs="Times New Roman"/>
          <w:sz w:val="20"/>
          <w:szCs w:val="20"/>
        </w:rPr>
        <w:t>oagulation;</w:t>
      </w:r>
      <w:r w:rsidRPr="00EE0BA4">
        <w:rPr>
          <w:rFonts w:ascii="Times New Roman" w:hAnsi="Times New Roman" w:cs="Times New Roman"/>
          <w:sz w:val="20"/>
          <w:szCs w:val="20"/>
        </w:rPr>
        <w:t xml:space="preserve"> co-</w:t>
      </w:r>
      <w:r w:rsidR="006978F7">
        <w:rPr>
          <w:rFonts w:ascii="Times New Roman" w:hAnsi="Times New Roman" w:cs="Times New Roman"/>
          <w:sz w:val="20"/>
          <w:szCs w:val="20"/>
        </w:rPr>
        <w:t>precipitation; settling; decantation; filtration; decontaminate; effluents; sludge</w:t>
      </w:r>
      <w:r w:rsidR="00E103F7">
        <w:rPr>
          <w:rFonts w:ascii="Times New Roman" w:hAnsi="Times New Roman" w:cs="Times New Roman"/>
          <w:sz w:val="20"/>
          <w:szCs w:val="20"/>
        </w:rPr>
        <w:t xml:space="preserve">; </w:t>
      </w:r>
      <w:r w:rsidRPr="00EE0BA4">
        <w:rPr>
          <w:rFonts w:ascii="Times New Roman" w:hAnsi="Times New Roman" w:cs="Times New Roman"/>
          <w:sz w:val="20"/>
          <w:szCs w:val="20"/>
        </w:rPr>
        <w:t>discharge</w:t>
      </w:r>
      <w:r w:rsidR="006978F7">
        <w:rPr>
          <w:rFonts w:ascii="Times New Roman" w:hAnsi="Times New Roman" w:cs="Times New Roman"/>
          <w:sz w:val="20"/>
          <w:szCs w:val="20"/>
        </w:rPr>
        <w:t>;</w:t>
      </w:r>
      <w:r w:rsidRPr="00EE0BA4">
        <w:rPr>
          <w:rFonts w:ascii="Times New Roman" w:hAnsi="Times New Roman" w:cs="Times New Roman"/>
          <w:sz w:val="20"/>
          <w:szCs w:val="20"/>
        </w:rPr>
        <w:t xml:space="preserve"> x</w:t>
      </w:r>
      <w:r w:rsidR="006978F7">
        <w:rPr>
          <w:rFonts w:ascii="Times New Roman" w:hAnsi="Times New Roman" w:cs="Times New Roman"/>
          <w:sz w:val="20"/>
          <w:szCs w:val="20"/>
        </w:rPr>
        <w:t>-ray fluorescence spectrometer;</w:t>
      </w:r>
      <w:r w:rsidR="00364C84">
        <w:rPr>
          <w:rFonts w:ascii="Times New Roman" w:hAnsi="Times New Roman" w:cs="Times New Roman"/>
          <w:sz w:val="20"/>
          <w:szCs w:val="20"/>
        </w:rPr>
        <w:t xml:space="preserve"> </w:t>
      </w:r>
      <w:r w:rsidRPr="00EE0BA4">
        <w:rPr>
          <w:rFonts w:ascii="Times New Roman" w:hAnsi="Times New Roman" w:cs="Times New Roman"/>
          <w:sz w:val="20"/>
          <w:szCs w:val="20"/>
        </w:rPr>
        <w:t>alert monitor</w:t>
      </w:r>
    </w:p>
    <w:p w:rsidR="00E103F7" w:rsidRDefault="00E103F7" w:rsidP="00EE0BA4">
      <w:pPr>
        <w:spacing w:after="60" w:line="360" w:lineRule="auto"/>
        <w:jc w:val="both"/>
        <w:rPr>
          <w:rFonts w:ascii="Times New Roman" w:hAnsi="Times New Roman" w:cs="Times New Roman"/>
          <w:sz w:val="20"/>
          <w:szCs w:val="20"/>
        </w:rPr>
      </w:pPr>
      <w:r>
        <w:rPr>
          <w:rFonts w:ascii="Times New Roman" w:hAnsi="Times New Roman" w:cs="Times New Roman"/>
          <w:sz w:val="20"/>
          <w:szCs w:val="20"/>
        </w:rPr>
        <w:t>……………………………………..</w:t>
      </w:r>
    </w:p>
    <w:p w:rsidR="00D534D4" w:rsidRDefault="00E103F7" w:rsidP="00364C84">
      <w:pPr>
        <w:spacing w:after="60" w:line="360" w:lineRule="auto"/>
        <w:jc w:val="both"/>
        <w:rPr>
          <w:rFonts w:ascii="Times New Roman" w:hAnsi="Times New Roman" w:cs="Times New Roman"/>
          <w:sz w:val="20"/>
          <w:szCs w:val="20"/>
        </w:rPr>
      </w:pPr>
      <w:r>
        <w:rPr>
          <w:rFonts w:ascii="Times New Roman" w:hAnsi="Times New Roman" w:cs="Times New Roman"/>
          <w:sz w:val="20"/>
          <w:szCs w:val="20"/>
        </w:rPr>
        <w:t>*</w:t>
      </w:r>
      <w:r w:rsidRPr="00E103F7">
        <w:rPr>
          <w:rFonts w:ascii="Times New Roman" w:hAnsi="Times New Roman" w:cs="Times New Roman"/>
          <w:sz w:val="20"/>
          <w:szCs w:val="20"/>
        </w:rPr>
        <w:t>Corresponding author</w:t>
      </w:r>
      <w:r w:rsidR="00261DA3">
        <w:rPr>
          <w:rFonts w:ascii="Times New Roman" w:hAnsi="Times New Roman" w:cs="Times New Roman"/>
          <w:sz w:val="20"/>
          <w:szCs w:val="20"/>
        </w:rPr>
        <w:t>.</w:t>
      </w:r>
    </w:p>
    <w:p w:rsidR="00364C84" w:rsidRPr="00D534D4" w:rsidRDefault="00364C84" w:rsidP="00364C84">
      <w:pPr>
        <w:spacing w:after="60" w:line="360" w:lineRule="auto"/>
        <w:jc w:val="both"/>
        <w:rPr>
          <w:rFonts w:ascii="Times New Roman" w:hAnsi="Times New Roman" w:cs="Times New Roman"/>
          <w:sz w:val="20"/>
          <w:szCs w:val="20"/>
        </w:rPr>
      </w:pPr>
      <w:r w:rsidRPr="00364C84">
        <w:rPr>
          <w:rFonts w:ascii="Times New Roman" w:hAnsi="Times New Roman" w:cs="Times New Roman"/>
          <w:b/>
          <w:sz w:val="20"/>
          <w:szCs w:val="20"/>
        </w:rPr>
        <w:lastRenderedPageBreak/>
        <w:t>1. Introduction</w:t>
      </w:r>
    </w:p>
    <w:p w:rsidR="00D534D4" w:rsidRDefault="00D534D4" w:rsidP="00364C84">
      <w:pPr>
        <w:spacing w:after="60" w:line="360" w:lineRule="auto"/>
        <w:jc w:val="both"/>
        <w:rPr>
          <w:rFonts w:ascii="Times New Roman" w:hAnsi="Times New Roman" w:cs="Times New Roman"/>
          <w:b/>
          <w:sz w:val="20"/>
          <w:szCs w:val="20"/>
        </w:rPr>
      </w:pPr>
    </w:p>
    <w:p w:rsidR="00364C84" w:rsidRDefault="00364C84" w:rsidP="00364C84">
      <w:pPr>
        <w:spacing w:after="60" w:line="360" w:lineRule="auto"/>
        <w:jc w:val="both"/>
        <w:rPr>
          <w:rFonts w:ascii="Times New Roman" w:hAnsi="Times New Roman" w:cs="Times New Roman"/>
          <w:sz w:val="20"/>
          <w:szCs w:val="20"/>
        </w:rPr>
      </w:pPr>
      <w:r>
        <w:rPr>
          <w:rFonts w:ascii="Times New Roman" w:hAnsi="Times New Roman" w:cs="Times New Roman"/>
          <w:sz w:val="20"/>
          <w:szCs w:val="20"/>
        </w:rPr>
        <w:t xml:space="preserve">The aim of the research work is to protect men and its environment from any undesirable effects of radiation, for the present and future generation.  Solid and liquid wastes were generated from rare earth processing.  Treatment of liquid waste from rare earth processing was carried out at waste management laboratory, Material Science Research Division. Treatment mean manipulation by some chemical or physical process whereby the original waste is separated into a concentrated and a much larger volume of dilute effluent which often could be liberated to the environment without hazard to the </w:t>
      </w:r>
      <w:r w:rsidR="00D534D4">
        <w:rPr>
          <w:rFonts w:ascii="Times New Roman" w:hAnsi="Times New Roman" w:cs="Times New Roman"/>
          <w:sz w:val="20"/>
          <w:szCs w:val="20"/>
        </w:rPr>
        <w:t>population [</w:t>
      </w:r>
      <w:r>
        <w:rPr>
          <w:rFonts w:ascii="Times New Roman" w:hAnsi="Times New Roman" w:cs="Times New Roman"/>
          <w:sz w:val="20"/>
          <w:szCs w:val="20"/>
        </w:rPr>
        <w:t xml:space="preserve">2] .Waste treatment techniques are used to change the physical, chemical or biological character of the waste to reduce its volume and or toxicity and to make safer for disposal. Treatment methods are selected based on the composition, quality and form of the waste material. </w:t>
      </w:r>
      <w:r w:rsidRPr="0060068C">
        <w:rPr>
          <w:rFonts w:ascii="Times New Roman" w:hAnsi="Times New Roman" w:cs="Times New Roman"/>
          <w:bCs/>
          <w:sz w:val="20"/>
          <w:szCs w:val="20"/>
        </w:rPr>
        <w:t xml:space="preserve">In Myanmar, monazite and xenotime occur associated with placer cassiterite and wolframite deposits. Columbite and tantalite also occur in these deposits, which are found in the Dawei and Myeik areas of southern Myanmar. Rare earth oxide can be extracted from monazite and is discovered locally as heavy sands in Myitsone area, </w:t>
      </w:r>
      <w:r w:rsidRPr="0060068C">
        <w:rPr>
          <w:rFonts w:ascii="Times New Roman" w:hAnsi="Times New Roman" w:cs="Times New Roman"/>
          <w:sz w:val="20"/>
          <w:szCs w:val="20"/>
        </w:rPr>
        <w:t>Moemeik</w:t>
      </w:r>
      <w:r w:rsidRPr="0060068C">
        <w:rPr>
          <w:rFonts w:ascii="Times New Roman" w:hAnsi="Times New Roman" w:cs="Times New Roman"/>
          <w:bCs/>
          <w:sz w:val="20"/>
          <w:szCs w:val="20"/>
        </w:rPr>
        <w:t xml:space="preserve"> Township, Homalin area, Sagaing Division, Thabeikyin Township and Heinze and Kanbauk area, Tanintharyi Division</w:t>
      </w:r>
      <w:r w:rsidR="00934CED">
        <w:rPr>
          <w:rFonts w:ascii="Times New Roman" w:hAnsi="Times New Roman" w:cs="Times New Roman"/>
          <w:bCs/>
          <w:sz w:val="20"/>
          <w:szCs w:val="20"/>
        </w:rPr>
        <w:t xml:space="preserve"> </w:t>
      </w:r>
      <w:r>
        <w:rPr>
          <w:rFonts w:ascii="Times New Roman" w:hAnsi="Times New Roman" w:cs="Times New Roman"/>
          <w:bCs/>
          <w:sz w:val="20"/>
          <w:szCs w:val="20"/>
        </w:rPr>
        <w:t>[1]</w:t>
      </w:r>
      <w:r w:rsidR="00AB73FA">
        <w:rPr>
          <w:rFonts w:ascii="Times New Roman" w:hAnsi="Times New Roman" w:cs="Times New Roman"/>
          <w:bCs/>
          <w:sz w:val="20"/>
          <w:szCs w:val="20"/>
        </w:rPr>
        <w:t>.</w:t>
      </w:r>
      <w:r w:rsidRPr="0060068C">
        <w:rPr>
          <w:rFonts w:ascii="Times New Roman" w:hAnsi="Times New Roman"/>
          <w:bCs/>
          <w:sz w:val="20"/>
          <w:szCs w:val="20"/>
        </w:rPr>
        <w:t xml:space="preserve"> </w:t>
      </w:r>
      <w:r>
        <w:rPr>
          <w:rFonts w:ascii="Times New Roman" w:hAnsi="Times New Roman" w:cs="Times New Roman"/>
          <w:sz w:val="20"/>
          <w:szCs w:val="20"/>
        </w:rPr>
        <w:t>Monazite ore from Moemeik Myitsone area was used as raw material for rare earth processing because Moemiek Myitsone area contains (11.82 %) of Monazite and others regions contain less than 4% of Monazit</w:t>
      </w:r>
      <w:r w:rsidR="00934CED">
        <w:rPr>
          <w:rFonts w:ascii="Times New Roman" w:hAnsi="Times New Roman" w:cs="Times New Roman"/>
          <w:sz w:val="20"/>
          <w:szCs w:val="20"/>
        </w:rPr>
        <w:t>e, it can be seen  in Figure 1.</w:t>
      </w:r>
      <w:r>
        <w:rPr>
          <w:rFonts w:ascii="Times New Roman" w:hAnsi="Times New Roman" w:cs="Times New Roman"/>
          <w:sz w:val="20"/>
          <w:szCs w:val="20"/>
        </w:rPr>
        <w:t xml:space="preserve"> Monazite, a major source of rare earths, contains characteristically high concentration of thorium series radionuclides.</w:t>
      </w:r>
    </w:p>
    <w:p w:rsidR="00364C84" w:rsidRDefault="00364C84" w:rsidP="00364C84">
      <w:pPr>
        <w:spacing w:after="60" w:line="360" w:lineRule="auto"/>
        <w:jc w:val="center"/>
        <w:rPr>
          <w:rFonts w:ascii="Times New Roman" w:hAnsi="Times New Roman" w:cs="Times New Roman"/>
          <w:sz w:val="20"/>
          <w:szCs w:val="20"/>
        </w:rPr>
      </w:pPr>
    </w:p>
    <w:p w:rsidR="00364C84" w:rsidRDefault="00364C84" w:rsidP="00364C84">
      <w:pPr>
        <w:spacing w:after="60" w:line="360" w:lineRule="auto"/>
        <w:jc w:val="center"/>
        <w:rPr>
          <w:rFonts w:ascii="Times New Roman" w:hAnsi="Times New Roman" w:cs="Times New Roman"/>
          <w:sz w:val="20"/>
          <w:szCs w:val="20"/>
        </w:rPr>
      </w:pPr>
      <w:r>
        <w:rPr>
          <w:rFonts w:ascii="Times New Roman" w:hAnsi="Times New Roman"/>
          <w:noProof/>
          <w:sz w:val="20"/>
          <w:szCs w:val="20"/>
          <w:lang w:val="en-SG" w:eastAsia="en-SG"/>
        </w:rPr>
        <w:drawing>
          <wp:inline distT="0" distB="0" distL="0" distR="0">
            <wp:extent cx="2505075" cy="3429000"/>
            <wp:effectExtent l="19050" t="0" r="9525" b="0"/>
            <wp:docPr id="1" name="Picture 11" descr="C:\Users\DR. AYE THI TAR\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AYE THI TAR\Desktop\FullSizeRender.jpg"/>
                    <pic:cNvPicPr>
                      <a:picLocks noChangeAspect="1" noChangeArrowheads="1"/>
                    </pic:cNvPicPr>
                  </pic:nvPicPr>
                  <pic:blipFill>
                    <a:blip r:embed="rId9"/>
                    <a:srcRect/>
                    <a:stretch>
                      <a:fillRect/>
                    </a:stretch>
                  </pic:blipFill>
                  <pic:spPr bwMode="auto">
                    <a:xfrm>
                      <a:off x="0" y="0"/>
                      <a:ext cx="2505075" cy="3429000"/>
                    </a:xfrm>
                    <a:prstGeom prst="rect">
                      <a:avLst/>
                    </a:prstGeom>
                    <a:noFill/>
                    <a:ln w="9525">
                      <a:noFill/>
                      <a:miter lim="800000"/>
                      <a:headEnd/>
                      <a:tailEnd/>
                    </a:ln>
                  </pic:spPr>
                </pic:pic>
              </a:graphicData>
            </a:graphic>
          </wp:inline>
        </w:drawing>
      </w:r>
    </w:p>
    <w:p w:rsidR="00A3780E" w:rsidRDefault="00A3780E" w:rsidP="00364C84">
      <w:pPr>
        <w:autoSpaceDE w:val="0"/>
        <w:autoSpaceDN w:val="0"/>
        <w:adjustRightInd w:val="0"/>
        <w:spacing w:after="0" w:line="240" w:lineRule="auto"/>
        <w:ind w:firstLine="288"/>
        <w:jc w:val="center"/>
        <w:rPr>
          <w:rFonts w:ascii="Times New Roman" w:hAnsi="Times New Roman"/>
          <w:b/>
          <w:bCs/>
          <w:sz w:val="20"/>
          <w:szCs w:val="20"/>
        </w:rPr>
      </w:pPr>
    </w:p>
    <w:p w:rsidR="00364C84" w:rsidRPr="00A3780E" w:rsidRDefault="00364C84" w:rsidP="00364C84">
      <w:pPr>
        <w:autoSpaceDE w:val="0"/>
        <w:autoSpaceDN w:val="0"/>
        <w:adjustRightInd w:val="0"/>
        <w:spacing w:after="0" w:line="240" w:lineRule="auto"/>
        <w:ind w:firstLine="288"/>
        <w:jc w:val="center"/>
        <w:rPr>
          <w:rFonts w:ascii="Times New Roman" w:hAnsi="Times New Roman"/>
          <w:bCs/>
          <w:sz w:val="20"/>
          <w:szCs w:val="20"/>
        </w:rPr>
      </w:pPr>
      <w:r w:rsidRPr="00A3780E">
        <w:rPr>
          <w:rFonts w:ascii="Times New Roman" w:hAnsi="Times New Roman"/>
          <w:b/>
          <w:bCs/>
          <w:sz w:val="20"/>
          <w:szCs w:val="20"/>
        </w:rPr>
        <w:t>Figure 1:</w:t>
      </w:r>
      <w:r w:rsidRPr="00A3780E">
        <w:rPr>
          <w:rFonts w:ascii="Times New Roman" w:hAnsi="Times New Roman"/>
          <w:bCs/>
          <w:sz w:val="20"/>
          <w:szCs w:val="20"/>
        </w:rPr>
        <w:t xml:space="preserve"> location of regional monazite ores</w:t>
      </w:r>
    </w:p>
    <w:p w:rsidR="00364C84" w:rsidRPr="00A3780E" w:rsidRDefault="00364C84" w:rsidP="00364C84">
      <w:pPr>
        <w:autoSpaceDE w:val="0"/>
        <w:autoSpaceDN w:val="0"/>
        <w:adjustRightInd w:val="0"/>
        <w:spacing w:after="0" w:line="240" w:lineRule="auto"/>
        <w:ind w:firstLine="288"/>
        <w:jc w:val="both"/>
        <w:rPr>
          <w:rFonts w:ascii="Times New Roman" w:hAnsi="Times New Roman"/>
          <w:bCs/>
          <w:sz w:val="20"/>
          <w:szCs w:val="20"/>
        </w:rPr>
      </w:pPr>
    </w:p>
    <w:p w:rsidR="00364C84" w:rsidRDefault="00364C84" w:rsidP="00364C84">
      <w:pPr>
        <w:spacing w:after="60" w:line="360" w:lineRule="auto"/>
        <w:jc w:val="both"/>
        <w:rPr>
          <w:rFonts w:ascii="Times New Roman" w:hAnsi="Times New Roman" w:cs="Times New Roman"/>
          <w:sz w:val="20"/>
          <w:szCs w:val="20"/>
        </w:rPr>
      </w:pPr>
    </w:p>
    <w:p w:rsidR="00364C84" w:rsidRPr="00A85CB4" w:rsidRDefault="00364C84" w:rsidP="00AB73FA">
      <w:pPr>
        <w:spacing w:after="6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Monazite is widely distributed in many countries such as Australia, Brazil, China, Egypt, India, Malaysia, South Africa, Sri Lanka, Taiwan (China) and the United States of America are engaged in its production. Large deposits of this mineral at Mountain Pass, California and the Bayan Obo deposit in China contribute the most important sources of rare earths in the world.  Wastes from the processing of radioactive ores are potential sources of radiological impact; both for those working in the industry and for members of the public who may be exposed if waste are dispersed in the environment. These wastes are characterized by large volumes and low activity concentrations of radionuclides with very long half-lives. Acidic and alkaline effluents from the processing plants and water and chemicals used for decontamination constitute the liquid e</w:t>
      </w:r>
      <w:r w:rsidR="00AB73FA">
        <w:rPr>
          <w:rFonts w:ascii="Times New Roman" w:hAnsi="Times New Roman" w:cs="Times New Roman"/>
          <w:sz w:val="20"/>
          <w:szCs w:val="20"/>
        </w:rPr>
        <w:t xml:space="preserve">ffluents in monazite processing </w:t>
      </w:r>
      <w:r>
        <w:rPr>
          <w:rFonts w:ascii="Times New Roman" w:hAnsi="Times New Roman" w:cs="Times New Roman"/>
          <w:sz w:val="20"/>
          <w:szCs w:val="20"/>
        </w:rPr>
        <w:t>[3]</w:t>
      </w:r>
      <w:r w:rsidR="00AB73FA">
        <w:rPr>
          <w:rFonts w:ascii="Times New Roman" w:hAnsi="Times New Roman" w:cs="Times New Roman"/>
          <w:sz w:val="20"/>
          <w:szCs w:val="20"/>
        </w:rPr>
        <w:t>.</w:t>
      </w:r>
      <w:r>
        <w:rPr>
          <w:rFonts w:ascii="Times New Roman" w:hAnsi="Times New Roman" w:cs="Times New Roman"/>
          <w:sz w:val="20"/>
          <w:szCs w:val="20"/>
        </w:rPr>
        <w:t xml:space="preserve">Removal of radioactive isotopes by chemical precipitation can be </w:t>
      </w:r>
      <w:r w:rsidR="00A3780E">
        <w:rPr>
          <w:rFonts w:ascii="Times New Roman" w:hAnsi="Times New Roman" w:cs="Times New Roman"/>
          <w:sz w:val="20"/>
          <w:szCs w:val="20"/>
        </w:rPr>
        <w:t>effected</w:t>
      </w:r>
      <w:r>
        <w:rPr>
          <w:rFonts w:ascii="Times New Roman" w:hAnsi="Times New Roman" w:cs="Times New Roman"/>
          <w:sz w:val="20"/>
          <w:szCs w:val="20"/>
        </w:rPr>
        <w:t xml:space="preserve"> by co-precipitation, adsorption and ion exchange. Chemical precipitation processes are generally applied to high volume waste streams with relatively low radioactivity concentrations. Chemical precipitation has been applied for many years to large volumes of low level liquid wastes from research establishments and also to low and intermediate level </w:t>
      </w:r>
      <w:r w:rsidR="00AB73FA">
        <w:rPr>
          <w:rFonts w:ascii="Times New Roman" w:hAnsi="Times New Roman" w:cs="Times New Roman"/>
          <w:sz w:val="20"/>
          <w:szCs w:val="20"/>
        </w:rPr>
        <w:t xml:space="preserve">liquids from processing plants </w:t>
      </w:r>
      <w:r>
        <w:rPr>
          <w:rFonts w:ascii="Times New Roman" w:hAnsi="Times New Roman" w:cs="Times New Roman"/>
          <w:sz w:val="20"/>
          <w:szCs w:val="20"/>
        </w:rPr>
        <w:t>[5]</w:t>
      </w:r>
      <w:r w:rsidR="00AB73FA">
        <w:rPr>
          <w:rFonts w:ascii="Times New Roman" w:hAnsi="Times New Roman" w:cs="Times New Roman"/>
          <w:sz w:val="20"/>
          <w:szCs w:val="20"/>
        </w:rPr>
        <w:t>.</w:t>
      </w:r>
      <w:r>
        <w:rPr>
          <w:rFonts w:ascii="Times New Roman" w:hAnsi="Times New Roman" w:cs="Times New Roman"/>
          <w:sz w:val="20"/>
          <w:szCs w:val="20"/>
        </w:rPr>
        <w:t xml:space="preserve">The most obvious method for removal of unwanted materials from solution is to precipitate it by addition of chemicals. Reagents are added to the liquid waste to form flocculants precipitation which carries down colored organic contaminants, suspended matter, certain undesirable metals and other impurities, without addition of many dissolved ions to the waste water. The </w:t>
      </w:r>
      <w:r w:rsidR="00AB73FA">
        <w:rPr>
          <w:rFonts w:ascii="Times New Roman" w:hAnsi="Times New Roman" w:cs="Times New Roman"/>
          <w:sz w:val="20"/>
          <w:szCs w:val="20"/>
        </w:rPr>
        <w:t>sludge</w:t>
      </w:r>
      <w:r>
        <w:rPr>
          <w:rFonts w:ascii="Times New Roman" w:hAnsi="Times New Roman" w:cs="Times New Roman"/>
          <w:sz w:val="20"/>
          <w:szCs w:val="20"/>
        </w:rPr>
        <w:t xml:space="preserve"> produced by chemical treatment processes are first thickened by settlement.</w:t>
      </w:r>
      <w:r w:rsidRPr="00A85CB4">
        <w:rPr>
          <w:rFonts w:ascii="Times New Roman" w:hAnsi="Times New Roman" w:cs="Times New Roman"/>
          <w:b/>
          <w:sz w:val="18"/>
          <w:szCs w:val="18"/>
        </w:rPr>
        <w:t xml:space="preserve"> </w:t>
      </w:r>
      <w:r w:rsidRPr="00A85CB4">
        <w:rPr>
          <w:rFonts w:ascii="Times New Roman" w:hAnsi="Times New Roman" w:cs="Times New Roman"/>
          <w:sz w:val="20"/>
          <w:szCs w:val="20"/>
        </w:rPr>
        <w:t xml:space="preserve">The decontaminated effluents </w:t>
      </w:r>
      <w:r>
        <w:rPr>
          <w:rFonts w:ascii="Times New Roman" w:hAnsi="Times New Roman" w:cs="Times New Roman"/>
          <w:sz w:val="20"/>
          <w:szCs w:val="20"/>
        </w:rPr>
        <w:t xml:space="preserve">were passed through in activated carbon column first and then reduced on sand bed then </w:t>
      </w:r>
      <w:r w:rsidRPr="00A85CB4">
        <w:rPr>
          <w:rFonts w:ascii="Times New Roman" w:hAnsi="Times New Roman" w:cs="Times New Roman"/>
          <w:sz w:val="20"/>
          <w:szCs w:val="20"/>
        </w:rPr>
        <w:t xml:space="preserve"> discharged to the water body or can often be disposed into ground.</w:t>
      </w:r>
    </w:p>
    <w:p w:rsidR="00364C84" w:rsidRDefault="00364C84" w:rsidP="00364C84">
      <w:pPr>
        <w:spacing w:after="60" w:line="360" w:lineRule="auto"/>
        <w:jc w:val="both"/>
        <w:rPr>
          <w:rFonts w:ascii="Times New Roman" w:hAnsi="Times New Roman" w:cs="Times New Roman"/>
          <w:sz w:val="20"/>
          <w:szCs w:val="20"/>
        </w:rPr>
      </w:pPr>
      <w:r>
        <w:rPr>
          <w:rFonts w:ascii="Times New Roman" w:hAnsi="Times New Roman" w:cs="Times New Roman"/>
          <w:sz w:val="20"/>
          <w:szCs w:val="20"/>
        </w:rPr>
        <w:t>Safety in waste management demands strict control at the place of origin as well as at the place of disposal. Proper collection and packing of waste is essential. The treatment of radioactive wastes, as of other wastes, is to achieve one or both of these aims:</w:t>
      </w:r>
    </w:p>
    <w:p w:rsidR="00364C84" w:rsidRDefault="00364C84" w:rsidP="00364C84">
      <w:pPr>
        <w:pStyle w:val="ListParagraph"/>
        <w:widowControl/>
        <w:numPr>
          <w:ilvl w:val="0"/>
          <w:numId w:val="5"/>
        </w:numPr>
        <w:spacing w:after="60" w:line="360" w:lineRule="auto"/>
        <w:contextualSpacing/>
        <w:jc w:val="both"/>
        <w:rPr>
          <w:rFonts w:ascii="Times New Roman" w:hAnsi="Times New Roman" w:cs="Times New Roman"/>
          <w:sz w:val="20"/>
          <w:szCs w:val="20"/>
        </w:rPr>
      </w:pPr>
      <w:r>
        <w:rPr>
          <w:rFonts w:ascii="Times New Roman" w:hAnsi="Times New Roman" w:cs="Times New Roman"/>
          <w:sz w:val="20"/>
          <w:szCs w:val="20"/>
        </w:rPr>
        <w:t>Concentration or conversion to a form permitting more economical and more easily controlled storage and</w:t>
      </w:r>
    </w:p>
    <w:p w:rsidR="00364C84" w:rsidRDefault="00364C84" w:rsidP="00364C84">
      <w:pPr>
        <w:pStyle w:val="ListParagraph"/>
        <w:widowControl/>
        <w:numPr>
          <w:ilvl w:val="0"/>
          <w:numId w:val="5"/>
        </w:numPr>
        <w:spacing w:after="60" w:line="360" w:lineRule="auto"/>
        <w:contextualSpacing/>
        <w:jc w:val="both"/>
        <w:rPr>
          <w:rFonts w:ascii="Times New Roman" w:hAnsi="Times New Roman" w:cs="Times New Roman"/>
          <w:sz w:val="20"/>
          <w:szCs w:val="20"/>
        </w:rPr>
      </w:pPr>
      <w:r>
        <w:rPr>
          <w:rFonts w:ascii="Times New Roman" w:hAnsi="Times New Roman" w:cs="Times New Roman"/>
          <w:sz w:val="20"/>
          <w:szCs w:val="20"/>
        </w:rPr>
        <w:t>Dilution or conversion in part to a more dilute form which may be discharged to the environment.</w:t>
      </w:r>
    </w:p>
    <w:p w:rsidR="00364C84" w:rsidRDefault="00364C84" w:rsidP="00364C84">
      <w:pPr>
        <w:spacing w:after="60" w:line="360" w:lineRule="auto"/>
        <w:jc w:val="both"/>
        <w:rPr>
          <w:rFonts w:ascii="Times New Roman" w:hAnsi="Times New Roman" w:cs="Times New Roman"/>
          <w:sz w:val="20"/>
          <w:szCs w:val="20"/>
        </w:rPr>
      </w:pPr>
      <w:r>
        <w:rPr>
          <w:rFonts w:ascii="Times New Roman" w:hAnsi="Times New Roman" w:cs="Times New Roman"/>
          <w:sz w:val="20"/>
          <w:szCs w:val="20"/>
        </w:rPr>
        <w:t>When the aim of treatment is to permit dispersal to the environment, monitoring of the environment around disposal facility was carried out to protect men and its environment from any undesirable of radiation, for the present and future g</w:t>
      </w:r>
      <w:r w:rsidR="00AB73FA">
        <w:rPr>
          <w:rFonts w:ascii="Times New Roman" w:hAnsi="Times New Roman" w:cs="Times New Roman"/>
          <w:sz w:val="20"/>
          <w:szCs w:val="20"/>
        </w:rPr>
        <w:t xml:space="preserve">eneration </w:t>
      </w:r>
      <w:r>
        <w:rPr>
          <w:rFonts w:ascii="Times New Roman" w:hAnsi="Times New Roman" w:cs="Times New Roman"/>
          <w:sz w:val="20"/>
          <w:szCs w:val="20"/>
        </w:rPr>
        <w:t>[6]</w:t>
      </w:r>
      <w:r w:rsidR="00AB73FA">
        <w:rPr>
          <w:rFonts w:ascii="Times New Roman" w:hAnsi="Times New Roman" w:cs="Times New Roman"/>
          <w:sz w:val="20"/>
          <w:szCs w:val="20"/>
        </w:rPr>
        <w:t>.</w:t>
      </w:r>
    </w:p>
    <w:p w:rsidR="00AB73FA" w:rsidRDefault="00AB73FA" w:rsidP="00364C84">
      <w:pPr>
        <w:spacing w:after="60" w:line="360" w:lineRule="auto"/>
        <w:jc w:val="both"/>
        <w:rPr>
          <w:rFonts w:ascii="Times New Roman" w:hAnsi="Times New Roman" w:cs="Times New Roman"/>
          <w:sz w:val="20"/>
          <w:szCs w:val="20"/>
        </w:rPr>
      </w:pPr>
    </w:p>
    <w:p w:rsidR="00AB73FA" w:rsidRDefault="00AB73FA" w:rsidP="00AB73FA">
      <w:pPr>
        <w:spacing w:after="60" w:line="360" w:lineRule="auto"/>
        <w:contextualSpacing/>
        <w:rPr>
          <w:rFonts w:ascii="Times New Roman" w:hAnsi="Times New Roman" w:cs="Times New Roman"/>
          <w:b/>
          <w:sz w:val="20"/>
          <w:szCs w:val="20"/>
        </w:rPr>
      </w:pPr>
      <w:r w:rsidRPr="00AB73FA">
        <w:rPr>
          <w:rFonts w:ascii="Times New Roman" w:hAnsi="Times New Roman" w:cs="Times New Roman"/>
          <w:b/>
          <w:sz w:val="20"/>
          <w:szCs w:val="20"/>
        </w:rPr>
        <w:t xml:space="preserve">2. Experimental Procedure </w:t>
      </w:r>
    </w:p>
    <w:p w:rsidR="00AB73FA" w:rsidRDefault="00AB73FA" w:rsidP="00AB73FA">
      <w:pPr>
        <w:spacing w:after="60" w:line="360" w:lineRule="auto"/>
        <w:jc w:val="both"/>
        <w:rPr>
          <w:rFonts w:ascii="Times New Roman" w:hAnsi="Times New Roman" w:cs="Times New Roman"/>
          <w:b/>
          <w:sz w:val="20"/>
          <w:szCs w:val="20"/>
        </w:rPr>
      </w:pPr>
    </w:p>
    <w:p w:rsidR="00AB73FA" w:rsidRDefault="00AB73FA" w:rsidP="00AB73FA">
      <w:pPr>
        <w:spacing w:after="60" w:line="360" w:lineRule="auto"/>
        <w:jc w:val="both"/>
        <w:rPr>
          <w:rFonts w:ascii="Times New Roman" w:hAnsi="Times New Roman" w:cs="Times New Roman"/>
          <w:sz w:val="20"/>
          <w:szCs w:val="20"/>
        </w:rPr>
      </w:pPr>
      <w:r>
        <w:rPr>
          <w:rFonts w:ascii="Times New Roman" w:hAnsi="Times New Roman" w:cs="Times New Roman"/>
          <w:sz w:val="20"/>
          <w:szCs w:val="20"/>
        </w:rPr>
        <w:t>This research work was carried out at waste management laboratory. Large amount of solid and liquid wastes were generated from rare earth processing laboratory.  Solid waste was stored in the storage tanks and rest of the liquid waste needed further treatment before discharge to the environment. Waste management laboratory collected all of the waste to tanks and then started treatment to discharge all. The reference used for</w:t>
      </w:r>
      <w:r w:rsidR="002755EA">
        <w:rPr>
          <w:rFonts w:ascii="Times New Roman" w:hAnsi="Times New Roman" w:cs="Times New Roman"/>
          <w:sz w:val="20"/>
          <w:szCs w:val="20"/>
        </w:rPr>
        <w:t xml:space="preserve"> classified waste was shown in T</w:t>
      </w:r>
      <w:r>
        <w:rPr>
          <w:rFonts w:ascii="Times New Roman" w:hAnsi="Times New Roman" w:cs="Times New Roman"/>
          <w:sz w:val="20"/>
          <w:szCs w:val="20"/>
        </w:rPr>
        <w:t>able 1.</w:t>
      </w:r>
    </w:p>
    <w:p w:rsidR="00AB73FA" w:rsidRDefault="00AB73FA" w:rsidP="00AB73FA">
      <w:pPr>
        <w:spacing w:after="60" w:line="360" w:lineRule="auto"/>
        <w:jc w:val="both"/>
        <w:rPr>
          <w:rFonts w:ascii="Times New Roman" w:hAnsi="Times New Roman" w:cs="Times New Roman"/>
          <w:sz w:val="20"/>
          <w:szCs w:val="20"/>
        </w:rPr>
      </w:pPr>
    </w:p>
    <w:p w:rsidR="00AB73FA" w:rsidRDefault="00AB73FA" w:rsidP="00AB73FA">
      <w:pPr>
        <w:spacing w:after="60" w:line="360" w:lineRule="auto"/>
        <w:jc w:val="both"/>
        <w:rPr>
          <w:rFonts w:ascii="Times New Roman" w:hAnsi="Times New Roman" w:cs="Times New Roman"/>
          <w:sz w:val="20"/>
          <w:szCs w:val="20"/>
        </w:rPr>
      </w:pPr>
    </w:p>
    <w:p w:rsidR="00AB73FA" w:rsidRPr="00382162" w:rsidRDefault="00AB73FA" w:rsidP="00A3780E">
      <w:pPr>
        <w:spacing w:after="60" w:line="360" w:lineRule="auto"/>
        <w:rPr>
          <w:rFonts w:ascii="Times New Roman" w:hAnsi="Times New Roman" w:cs="Times New Roman"/>
          <w:sz w:val="20"/>
          <w:szCs w:val="20"/>
        </w:rPr>
      </w:pPr>
    </w:p>
    <w:p w:rsidR="00AB73FA" w:rsidRDefault="00AB73FA" w:rsidP="00382162">
      <w:pPr>
        <w:spacing w:after="60" w:line="360" w:lineRule="auto"/>
        <w:jc w:val="center"/>
        <w:rPr>
          <w:rFonts w:ascii="Times New Roman" w:hAnsi="Times New Roman" w:cs="Times New Roman"/>
          <w:sz w:val="20"/>
          <w:szCs w:val="20"/>
        </w:rPr>
      </w:pPr>
      <w:r w:rsidRPr="00382162">
        <w:rPr>
          <w:rFonts w:ascii="Times New Roman" w:hAnsi="Times New Roman" w:cs="Times New Roman"/>
          <w:b/>
          <w:sz w:val="20"/>
          <w:szCs w:val="20"/>
        </w:rPr>
        <w:lastRenderedPageBreak/>
        <w:t>Table 1</w:t>
      </w:r>
      <w:r w:rsidR="00382162" w:rsidRPr="00382162">
        <w:rPr>
          <w:rFonts w:ascii="Times New Roman" w:hAnsi="Times New Roman" w:cs="Times New Roman"/>
          <w:b/>
          <w:sz w:val="20"/>
          <w:szCs w:val="20"/>
        </w:rPr>
        <w:t>:</w:t>
      </w:r>
      <w:r w:rsidR="00382162">
        <w:rPr>
          <w:rFonts w:ascii="Times New Roman" w:hAnsi="Times New Roman" w:cs="Times New Roman"/>
          <w:sz w:val="20"/>
          <w:szCs w:val="20"/>
        </w:rPr>
        <w:t xml:space="preserve"> </w:t>
      </w:r>
      <w:r w:rsidRPr="00382162">
        <w:rPr>
          <w:rFonts w:ascii="Times New Roman" w:hAnsi="Times New Roman" w:cs="Times New Roman"/>
          <w:sz w:val="20"/>
          <w:szCs w:val="20"/>
        </w:rPr>
        <w:t>United Kingdom radioactive waste classification system</w:t>
      </w:r>
    </w:p>
    <w:p w:rsidR="00382162" w:rsidRPr="00382162" w:rsidRDefault="00382162" w:rsidP="00382162">
      <w:pPr>
        <w:spacing w:after="60" w:line="360" w:lineRule="auto"/>
        <w:jc w:val="center"/>
        <w:rPr>
          <w:rFonts w:ascii="Times New Roman" w:hAnsi="Times New Roman" w:cs="Times New Roman"/>
          <w:sz w:val="20"/>
          <w:szCs w:val="20"/>
        </w:rPr>
      </w:pPr>
    </w:p>
    <w:tbl>
      <w:tblPr>
        <w:tblpPr w:leftFromText="180" w:rightFromText="180" w:vertAnchor="text" w:tblpX="144" w:tblpY="1"/>
        <w:tblOverlap w:val="never"/>
        <w:tblW w:w="8696" w:type="dxa"/>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1538"/>
        <w:gridCol w:w="1534"/>
        <w:gridCol w:w="1533"/>
        <w:gridCol w:w="2301"/>
        <w:gridCol w:w="1790"/>
      </w:tblGrid>
      <w:tr w:rsidR="00AB73FA" w:rsidRPr="00382162" w:rsidTr="00382162">
        <w:trPr>
          <w:trHeight w:val="760"/>
        </w:trPr>
        <w:tc>
          <w:tcPr>
            <w:tcW w:w="1538" w:type="dxa"/>
            <w:shd w:val="clear" w:color="auto" w:fill="FFFFFF"/>
            <w:tcMar>
              <w:top w:w="72" w:type="dxa"/>
              <w:left w:w="144" w:type="dxa"/>
              <w:bottom w:w="72" w:type="dxa"/>
              <w:right w:w="144" w:type="dxa"/>
            </w:tcMar>
            <w:vAlign w:val="center"/>
            <w:hideMark/>
          </w:tcPr>
          <w:p w:rsidR="00AB73FA" w:rsidRPr="00A3780E" w:rsidRDefault="00AB73FA" w:rsidP="00382162">
            <w:pPr>
              <w:spacing w:line="360" w:lineRule="auto"/>
              <w:jc w:val="center"/>
              <w:rPr>
                <w:rFonts w:ascii="Times New Roman" w:hAnsi="Times New Roman" w:cs="Times New Roman"/>
                <w:sz w:val="20"/>
                <w:szCs w:val="20"/>
              </w:rPr>
            </w:pPr>
            <w:r w:rsidRPr="00A3780E">
              <w:rPr>
                <w:rFonts w:ascii="Times New Roman" w:hAnsi="Times New Roman" w:cs="Times New Roman"/>
                <w:sz w:val="20"/>
                <w:szCs w:val="20"/>
              </w:rPr>
              <w:t>exempt waste</w:t>
            </w:r>
          </w:p>
        </w:tc>
        <w:tc>
          <w:tcPr>
            <w:tcW w:w="1534" w:type="dxa"/>
            <w:shd w:val="clear" w:color="auto" w:fill="FFFFFF"/>
            <w:tcMar>
              <w:top w:w="72" w:type="dxa"/>
              <w:left w:w="144" w:type="dxa"/>
              <w:bottom w:w="72" w:type="dxa"/>
              <w:right w:w="144" w:type="dxa"/>
            </w:tcMar>
            <w:vAlign w:val="center"/>
            <w:hideMark/>
          </w:tcPr>
          <w:p w:rsidR="00AB73FA" w:rsidRPr="00A3780E" w:rsidRDefault="00AB73FA" w:rsidP="00382162">
            <w:pPr>
              <w:spacing w:line="360" w:lineRule="auto"/>
              <w:jc w:val="center"/>
              <w:rPr>
                <w:rFonts w:ascii="Times New Roman" w:hAnsi="Times New Roman" w:cs="Times New Roman"/>
                <w:sz w:val="20"/>
                <w:szCs w:val="20"/>
              </w:rPr>
            </w:pPr>
            <w:r w:rsidRPr="00A3780E">
              <w:rPr>
                <w:rFonts w:ascii="Times New Roman" w:hAnsi="Times New Roman" w:cs="Times New Roman"/>
                <w:sz w:val="20"/>
                <w:szCs w:val="20"/>
              </w:rPr>
              <w:t>very low level waste</w:t>
            </w:r>
          </w:p>
        </w:tc>
        <w:tc>
          <w:tcPr>
            <w:tcW w:w="1533" w:type="dxa"/>
            <w:shd w:val="clear" w:color="auto" w:fill="FFFFFF"/>
            <w:tcMar>
              <w:top w:w="72" w:type="dxa"/>
              <w:left w:w="144" w:type="dxa"/>
              <w:bottom w:w="72" w:type="dxa"/>
              <w:right w:w="144" w:type="dxa"/>
            </w:tcMar>
            <w:vAlign w:val="center"/>
            <w:hideMark/>
          </w:tcPr>
          <w:p w:rsidR="00AB73FA" w:rsidRPr="00A3780E" w:rsidRDefault="00AB73FA" w:rsidP="00382162">
            <w:pPr>
              <w:spacing w:line="360" w:lineRule="auto"/>
              <w:jc w:val="center"/>
              <w:rPr>
                <w:rFonts w:ascii="Times New Roman" w:hAnsi="Times New Roman" w:cs="Times New Roman"/>
                <w:sz w:val="20"/>
                <w:szCs w:val="20"/>
              </w:rPr>
            </w:pPr>
            <w:r w:rsidRPr="00A3780E">
              <w:rPr>
                <w:rFonts w:ascii="Times New Roman" w:hAnsi="Times New Roman" w:cs="Times New Roman"/>
                <w:sz w:val="20"/>
                <w:szCs w:val="20"/>
              </w:rPr>
              <w:t>low level waste</w:t>
            </w:r>
          </w:p>
        </w:tc>
        <w:tc>
          <w:tcPr>
            <w:tcW w:w="2301" w:type="dxa"/>
            <w:shd w:val="clear" w:color="auto" w:fill="FFFFFF"/>
            <w:tcMar>
              <w:top w:w="72" w:type="dxa"/>
              <w:left w:w="144" w:type="dxa"/>
              <w:bottom w:w="72" w:type="dxa"/>
              <w:right w:w="144" w:type="dxa"/>
            </w:tcMar>
            <w:vAlign w:val="center"/>
            <w:hideMark/>
          </w:tcPr>
          <w:p w:rsidR="00AB73FA" w:rsidRPr="00A3780E" w:rsidRDefault="00AB73FA" w:rsidP="00382162">
            <w:pPr>
              <w:spacing w:line="360" w:lineRule="auto"/>
              <w:jc w:val="center"/>
              <w:rPr>
                <w:rFonts w:ascii="Times New Roman" w:hAnsi="Times New Roman" w:cs="Times New Roman"/>
                <w:sz w:val="20"/>
                <w:szCs w:val="20"/>
              </w:rPr>
            </w:pPr>
            <w:r w:rsidRPr="00A3780E">
              <w:rPr>
                <w:rFonts w:ascii="Times New Roman" w:hAnsi="Times New Roman" w:cs="Times New Roman"/>
                <w:sz w:val="20"/>
                <w:szCs w:val="20"/>
              </w:rPr>
              <w:t>intermediate level waste</w:t>
            </w:r>
          </w:p>
        </w:tc>
        <w:tc>
          <w:tcPr>
            <w:tcW w:w="1790" w:type="dxa"/>
            <w:shd w:val="clear" w:color="auto" w:fill="FFFFFF"/>
            <w:tcMar>
              <w:top w:w="72" w:type="dxa"/>
              <w:left w:w="144" w:type="dxa"/>
              <w:bottom w:w="72" w:type="dxa"/>
              <w:right w:w="144" w:type="dxa"/>
            </w:tcMar>
            <w:vAlign w:val="center"/>
            <w:hideMark/>
          </w:tcPr>
          <w:p w:rsidR="00AB73FA" w:rsidRPr="00A3780E" w:rsidRDefault="00AB73FA" w:rsidP="00382162">
            <w:pPr>
              <w:spacing w:line="360" w:lineRule="auto"/>
              <w:jc w:val="center"/>
              <w:rPr>
                <w:rFonts w:ascii="Times New Roman" w:hAnsi="Times New Roman" w:cs="Times New Roman"/>
                <w:sz w:val="20"/>
                <w:szCs w:val="20"/>
              </w:rPr>
            </w:pPr>
            <w:r w:rsidRPr="00A3780E">
              <w:rPr>
                <w:rFonts w:ascii="Times New Roman" w:hAnsi="Times New Roman" w:cs="Times New Roman"/>
                <w:sz w:val="20"/>
                <w:szCs w:val="20"/>
              </w:rPr>
              <w:t>high level waste</w:t>
            </w:r>
          </w:p>
        </w:tc>
      </w:tr>
      <w:tr w:rsidR="00AB73FA" w:rsidRPr="00382162" w:rsidTr="00382162">
        <w:trPr>
          <w:trHeight w:val="1682"/>
        </w:trPr>
        <w:tc>
          <w:tcPr>
            <w:tcW w:w="1538" w:type="dxa"/>
            <w:shd w:val="clear" w:color="auto" w:fill="FFFFFF"/>
            <w:tcMar>
              <w:top w:w="72" w:type="dxa"/>
              <w:left w:w="144" w:type="dxa"/>
              <w:bottom w:w="72" w:type="dxa"/>
              <w:right w:w="144" w:type="dxa"/>
            </w:tcMar>
            <w:vAlign w:val="center"/>
            <w:hideMark/>
          </w:tcPr>
          <w:p w:rsidR="00AB73FA" w:rsidRPr="00382162" w:rsidRDefault="00AB73FA" w:rsidP="00382162">
            <w:pPr>
              <w:spacing w:line="360" w:lineRule="auto"/>
              <w:jc w:val="center"/>
              <w:rPr>
                <w:rFonts w:ascii="Times New Roman" w:hAnsi="Times New Roman" w:cs="Times New Roman"/>
                <w:sz w:val="20"/>
                <w:szCs w:val="20"/>
              </w:rPr>
            </w:pPr>
            <w:r w:rsidRPr="00382162">
              <w:rPr>
                <w:rFonts w:ascii="Times New Roman" w:hAnsi="Times New Roman" w:cs="Times New Roman"/>
                <w:sz w:val="20"/>
                <w:szCs w:val="20"/>
              </w:rPr>
              <w:t>0.4 Bq/g (limit)</w:t>
            </w:r>
          </w:p>
        </w:tc>
        <w:tc>
          <w:tcPr>
            <w:tcW w:w="1534" w:type="dxa"/>
            <w:shd w:val="clear" w:color="auto" w:fill="FFFFFF"/>
            <w:tcMar>
              <w:top w:w="72" w:type="dxa"/>
              <w:left w:w="144" w:type="dxa"/>
              <w:bottom w:w="72" w:type="dxa"/>
              <w:right w:w="144" w:type="dxa"/>
            </w:tcMar>
            <w:vAlign w:val="center"/>
            <w:hideMark/>
          </w:tcPr>
          <w:p w:rsidR="00AB73FA" w:rsidRPr="00382162" w:rsidRDefault="00AB73FA" w:rsidP="00382162">
            <w:pPr>
              <w:spacing w:line="360" w:lineRule="auto"/>
              <w:jc w:val="center"/>
              <w:rPr>
                <w:rFonts w:ascii="Times New Roman" w:hAnsi="Times New Roman" w:cs="Times New Roman"/>
                <w:sz w:val="20"/>
                <w:szCs w:val="20"/>
              </w:rPr>
            </w:pPr>
            <w:r w:rsidRPr="00382162">
              <w:rPr>
                <w:rFonts w:ascii="Times New Roman" w:hAnsi="Times New Roman" w:cs="Times New Roman"/>
                <w:sz w:val="20"/>
                <w:szCs w:val="20"/>
              </w:rPr>
              <w:t>4 Bq/g (limit)</w:t>
            </w:r>
          </w:p>
        </w:tc>
        <w:tc>
          <w:tcPr>
            <w:tcW w:w="1533" w:type="dxa"/>
            <w:shd w:val="clear" w:color="auto" w:fill="FFFFFF"/>
            <w:tcMar>
              <w:top w:w="72" w:type="dxa"/>
              <w:left w:w="144" w:type="dxa"/>
              <w:bottom w:w="72" w:type="dxa"/>
              <w:right w:w="144" w:type="dxa"/>
            </w:tcMar>
            <w:vAlign w:val="center"/>
            <w:hideMark/>
          </w:tcPr>
          <w:p w:rsidR="00AB73FA" w:rsidRPr="00382162" w:rsidRDefault="00AB73FA" w:rsidP="00382162">
            <w:pPr>
              <w:spacing w:line="360" w:lineRule="auto"/>
              <w:jc w:val="center"/>
              <w:rPr>
                <w:rFonts w:ascii="Times New Roman" w:hAnsi="Times New Roman" w:cs="Times New Roman"/>
                <w:sz w:val="20"/>
                <w:szCs w:val="20"/>
              </w:rPr>
            </w:pPr>
            <w:r w:rsidRPr="00382162">
              <w:rPr>
                <w:rFonts w:ascii="Times New Roman" w:hAnsi="Times New Roman" w:cs="Times New Roman"/>
                <w:sz w:val="20"/>
                <w:szCs w:val="20"/>
              </w:rPr>
              <w:t>4 ~ 400 Bq/g</w:t>
            </w:r>
          </w:p>
        </w:tc>
        <w:tc>
          <w:tcPr>
            <w:tcW w:w="2301" w:type="dxa"/>
            <w:shd w:val="clear" w:color="auto" w:fill="FFFFFF"/>
            <w:tcMar>
              <w:top w:w="72" w:type="dxa"/>
              <w:left w:w="144" w:type="dxa"/>
              <w:bottom w:w="72" w:type="dxa"/>
              <w:right w:w="144" w:type="dxa"/>
            </w:tcMar>
            <w:vAlign w:val="center"/>
            <w:hideMark/>
          </w:tcPr>
          <w:p w:rsidR="00DA37EF" w:rsidRDefault="00AB73FA" w:rsidP="00382162">
            <w:pPr>
              <w:spacing w:line="360" w:lineRule="auto"/>
              <w:jc w:val="center"/>
              <w:rPr>
                <w:rFonts w:ascii="Times New Roman" w:hAnsi="Times New Roman" w:cs="Times New Roman"/>
                <w:sz w:val="20"/>
                <w:szCs w:val="20"/>
              </w:rPr>
            </w:pPr>
            <w:r w:rsidRPr="00382162">
              <w:rPr>
                <w:rFonts w:ascii="Times New Roman" w:hAnsi="Times New Roman" w:cs="Times New Roman"/>
                <w:sz w:val="20"/>
                <w:szCs w:val="20"/>
              </w:rPr>
              <w:t xml:space="preserve">12000Bq/g </w:t>
            </w:r>
          </w:p>
          <w:p w:rsidR="00AB73FA" w:rsidRPr="00382162" w:rsidRDefault="00AB73FA" w:rsidP="00382162">
            <w:pPr>
              <w:spacing w:line="360" w:lineRule="auto"/>
              <w:jc w:val="center"/>
              <w:rPr>
                <w:rFonts w:ascii="Times New Roman" w:hAnsi="Times New Roman" w:cs="Times New Roman"/>
                <w:sz w:val="20"/>
                <w:szCs w:val="20"/>
              </w:rPr>
            </w:pPr>
            <w:r w:rsidRPr="00382162">
              <w:rPr>
                <w:rFonts w:ascii="Times New Roman" w:hAnsi="Times New Roman" w:cs="Times New Roman"/>
                <w:sz w:val="20"/>
                <w:szCs w:val="20"/>
              </w:rPr>
              <w:t>(alpha limit 4000 Bq/g)</w:t>
            </w:r>
          </w:p>
        </w:tc>
        <w:tc>
          <w:tcPr>
            <w:tcW w:w="1790" w:type="dxa"/>
            <w:shd w:val="clear" w:color="auto" w:fill="FFFFFF"/>
            <w:tcMar>
              <w:top w:w="72" w:type="dxa"/>
              <w:left w:w="144" w:type="dxa"/>
              <w:bottom w:w="72" w:type="dxa"/>
              <w:right w:w="144" w:type="dxa"/>
            </w:tcMar>
            <w:vAlign w:val="center"/>
            <w:hideMark/>
          </w:tcPr>
          <w:p w:rsidR="00AB73FA" w:rsidRPr="00382162" w:rsidRDefault="00AB73FA" w:rsidP="00382162">
            <w:pPr>
              <w:spacing w:line="360" w:lineRule="auto"/>
              <w:jc w:val="center"/>
              <w:rPr>
                <w:rFonts w:ascii="Times New Roman" w:hAnsi="Times New Roman" w:cs="Times New Roman"/>
                <w:sz w:val="20"/>
                <w:szCs w:val="20"/>
              </w:rPr>
            </w:pPr>
            <w:r w:rsidRPr="00382162">
              <w:rPr>
                <w:rFonts w:ascii="Times New Roman" w:hAnsi="Times New Roman" w:cs="Times New Roman"/>
                <w:sz w:val="20"/>
                <w:szCs w:val="20"/>
              </w:rPr>
              <w:t>&gt;12000 Bq/g</w:t>
            </w:r>
          </w:p>
          <w:p w:rsidR="00AB73FA" w:rsidRPr="00382162" w:rsidRDefault="00AB73FA" w:rsidP="00382162">
            <w:pPr>
              <w:spacing w:line="360" w:lineRule="auto"/>
              <w:jc w:val="center"/>
              <w:rPr>
                <w:rFonts w:ascii="Times New Roman" w:hAnsi="Times New Roman" w:cs="Times New Roman"/>
                <w:sz w:val="20"/>
                <w:szCs w:val="20"/>
              </w:rPr>
            </w:pPr>
            <w:r w:rsidRPr="00382162">
              <w:rPr>
                <w:rFonts w:ascii="Times New Roman" w:hAnsi="Times New Roman" w:cs="Times New Roman"/>
                <w:sz w:val="20"/>
                <w:szCs w:val="20"/>
              </w:rPr>
              <w:t>Significant heat generated</w:t>
            </w:r>
          </w:p>
        </w:tc>
      </w:tr>
    </w:tbl>
    <w:p w:rsidR="00AB73FA" w:rsidRDefault="00AB73FA" w:rsidP="00AB73FA">
      <w:pPr>
        <w:spacing w:after="60" w:line="360" w:lineRule="auto"/>
        <w:jc w:val="both"/>
        <w:rPr>
          <w:rFonts w:ascii="Times New Roman" w:hAnsi="Times New Roman" w:cs="Times New Roman"/>
          <w:bCs/>
          <w:sz w:val="20"/>
          <w:szCs w:val="20"/>
          <w:lang w:val="it-IT"/>
        </w:rPr>
      </w:pPr>
    </w:p>
    <w:p w:rsidR="00AB73FA" w:rsidRPr="00382162" w:rsidRDefault="00AB73FA" w:rsidP="00382162">
      <w:pPr>
        <w:spacing w:after="60" w:line="360" w:lineRule="auto"/>
        <w:jc w:val="both"/>
        <w:rPr>
          <w:rFonts w:ascii="Times New Roman" w:hAnsi="Times New Roman" w:cs="Times New Roman"/>
          <w:sz w:val="20"/>
          <w:szCs w:val="20"/>
        </w:rPr>
      </w:pPr>
      <w:r w:rsidRPr="00382162">
        <w:rPr>
          <w:rFonts w:ascii="Times New Roman" w:hAnsi="Times New Roman" w:cs="Times New Roman"/>
          <w:bCs/>
          <w:sz w:val="20"/>
          <w:szCs w:val="20"/>
          <w:lang w:val="it-IT"/>
        </w:rPr>
        <w:t>1 becquerel  (Bq) = 1 disintegration per second</w:t>
      </w:r>
      <w:r w:rsidRPr="00382162">
        <w:rPr>
          <w:rFonts w:ascii="Times New Roman" w:hAnsi="Times New Roman" w:cs="Times New Roman"/>
          <w:bCs/>
          <w:sz w:val="20"/>
          <w:szCs w:val="20"/>
        </w:rPr>
        <w:t xml:space="preserve"> </w:t>
      </w:r>
    </w:p>
    <w:p w:rsidR="00382162" w:rsidRDefault="00AB73FA" w:rsidP="00382162">
      <w:pPr>
        <w:spacing w:after="60" w:line="360" w:lineRule="auto"/>
        <w:jc w:val="both"/>
        <w:rPr>
          <w:rFonts w:ascii="Times New Roman" w:hAnsi="Times New Roman" w:cs="Times New Roman"/>
          <w:sz w:val="20"/>
          <w:szCs w:val="20"/>
        </w:rPr>
      </w:pPr>
      <w:r w:rsidRPr="00382162">
        <w:rPr>
          <w:rFonts w:ascii="Times New Roman" w:hAnsi="Times New Roman" w:cs="Times New Roman"/>
          <w:sz w:val="20"/>
          <w:szCs w:val="20"/>
        </w:rPr>
        <w:t>The United Kingdom and a number of other European countries use similar concentration ranges of radioactivity to classify hazardous waste</w:t>
      </w:r>
      <w:r w:rsidR="00382162">
        <w:rPr>
          <w:rFonts w:ascii="Times New Roman" w:hAnsi="Times New Roman" w:cs="Times New Roman"/>
          <w:sz w:val="20"/>
          <w:szCs w:val="20"/>
        </w:rPr>
        <w:t xml:space="preserve"> </w:t>
      </w:r>
      <w:r w:rsidRPr="00382162">
        <w:rPr>
          <w:rFonts w:ascii="Times New Roman" w:hAnsi="Times New Roman" w:cs="Times New Roman"/>
          <w:sz w:val="20"/>
          <w:szCs w:val="20"/>
        </w:rPr>
        <w:t>[4]</w:t>
      </w:r>
      <w:r w:rsidR="00382162">
        <w:rPr>
          <w:rFonts w:ascii="Times New Roman" w:hAnsi="Times New Roman" w:cs="Times New Roman"/>
          <w:sz w:val="20"/>
          <w:szCs w:val="20"/>
        </w:rPr>
        <w:t>.</w:t>
      </w:r>
      <w:r w:rsidR="00CF3A4D">
        <w:rPr>
          <w:rFonts w:ascii="Times New Roman" w:hAnsi="Times New Roman" w:cs="Times New Roman"/>
          <w:sz w:val="20"/>
          <w:szCs w:val="20"/>
        </w:rPr>
        <w:t xml:space="preserve"> </w:t>
      </w:r>
      <w:r w:rsidRPr="00382162">
        <w:rPr>
          <w:rFonts w:ascii="Times New Roman" w:hAnsi="Times New Roman" w:cs="Times New Roman"/>
          <w:sz w:val="20"/>
          <w:szCs w:val="20"/>
        </w:rPr>
        <w:t>Treatment of liquid waste from rare earth processing was carried out at waste management laboratory. Sodium hydroxide (NaOH) was used in the treatment of effluent for the heavy metals and of acidity. Potassium permanganate (KMnO</w:t>
      </w:r>
      <w:r w:rsidRPr="00382162">
        <w:rPr>
          <w:rFonts w:ascii="Times New Roman" w:hAnsi="Times New Roman" w:cs="Times New Roman"/>
          <w:sz w:val="20"/>
          <w:szCs w:val="20"/>
          <w:vertAlign w:val="subscript"/>
        </w:rPr>
        <w:t>4</w:t>
      </w:r>
      <w:r w:rsidRPr="00382162">
        <w:rPr>
          <w:rFonts w:ascii="Times New Roman" w:hAnsi="Times New Roman" w:cs="Times New Roman"/>
          <w:sz w:val="20"/>
          <w:szCs w:val="20"/>
        </w:rPr>
        <w:t>) was used as an oxidizing agent. Ferric ion (FeCl</w:t>
      </w:r>
      <w:r w:rsidRPr="00382162">
        <w:rPr>
          <w:rFonts w:ascii="Times New Roman" w:hAnsi="Times New Roman" w:cs="Times New Roman"/>
          <w:sz w:val="20"/>
          <w:szCs w:val="20"/>
          <w:vertAlign w:val="subscript"/>
        </w:rPr>
        <w:t>3</w:t>
      </w:r>
      <w:r w:rsidRPr="00382162">
        <w:rPr>
          <w:rFonts w:ascii="Times New Roman" w:hAnsi="Times New Roman" w:cs="Times New Roman"/>
          <w:sz w:val="20"/>
          <w:szCs w:val="20"/>
        </w:rPr>
        <w:t>)</w:t>
      </w:r>
      <w:r w:rsidRPr="00382162">
        <w:rPr>
          <w:rFonts w:ascii="Times New Roman" w:hAnsi="Times New Roman" w:cs="Times New Roman"/>
          <w:sz w:val="20"/>
          <w:szCs w:val="20"/>
          <w:vertAlign w:val="subscript"/>
        </w:rPr>
        <w:t xml:space="preserve"> </w:t>
      </w:r>
      <w:r w:rsidRPr="00382162">
        <w:rPr>
          <w:rFonts w:ascii="Times New Roman" w:hAnsi="Times New Roman" w:cs="Times New Roman"/>
          <w:sz w:val="20"/>
          <w:szCs w:val="20"/>
        </w:rPr>
        <w:t xml:space="preserve">was used for co-precipitation. Activated carbon was used for removes contaminants from water, absorption and catalytic reduction. Nitric acid was preferred used for its oxidizing ability. Sand bed was used for volume reduce of effluents. Treatment methods are selected on the composition, quantity and form of waste materials. The treatment of liquid waste from rare earth processing serves the purpose of reducing the volume of the waste as much as possible: solidifying and finally dispose of the waste. Chemical precipitation method was used for treatment of liquid waste from rare earth processing. The most reliable coagulation treatment is </w:t>
      </w:r>
      <w:r w:rsidR="00CF3A4D" w:rsidRPr="00382162">
        <w:rPr>
          <w:rFonts w:ascii="Times New Roman" w:hAnsi="Times New Roman" w:cs="Times New Roman"/>
          <w:sz w:val="20"/>
          <w:szCs w:val="20"/>
        </w:rPr>
        <w:t xml:space="preserve">the </w:t>
      </w:r>
      <w:r w:rsidR="00CF3A4D">
        <w:rPr>
          <w:rFonts w:ascii="Times New Roman" w:hAnsi="Times New Roman" w:cs="Times New Roman"/>
          <w:sz w:val="20"/>
          <w:szCs w:val="20"/>
        </w:rPr>
        <w:t>-</w:t>
      </w:r>
    </w:p>
    <w:p w:rsidR="007766F4" w:rsidRPr="00382162" w:rsidRDefault="00AB73FA" w:rsidP="007766F4">
      <w:pPr>
        <w:spacing w:after="0" w:line="360" w:lineRule="auto"/>
        <w:jc w:val="both"/>
        <w:rPr>
          <w:rFonts w:ascii="Times New Roman" w:hAnsi="Times New Roman" w:cs="Times New Roman"/>
          <w:sz w:val="20"/>
          <w:szCs w:val="20"/>
        </w:rPr>
      </w:pPr>
      <w:r w:rsidRPr="00382162">
        <w:rPr>
          <w:rFonts w:ascii="Times New Roman" w:hAnsi="Times New Roman" w:cs="Times New Roman"/>
          <w:sz w:val="20"/>
          <w:szCs w:val="20"/>
        </w:rPr>
        <w:t xml:space="preserve">Fe </w:t>
      </w:r>
      <w:r w:rsidRPr="00382162">
        <w:rPr>
          <w:rFonts w:ascii="Times New Roman" w:hAnsi="Times New Roman" w:cs="Times New Roman"/>
          <w:sz w:val="20"/>
          <w:szCs w:val="20"/>
          <w:vertAlign w:val="superscript"/>
        </w:rPr>
        <w:t xml:space="preserve">+++ </w:t>
      </w:r>
      <w:r w:rsidRPr="00382162">
        <w:rPr>
          <w:rFonts w:ascii="Times New Roman" w:hAnsi="Times New Roman" w:cs="Times New Roman"/>
          <w:sz w:val="20"/>
          <w:szCs w:val="20"/>
        </w:rPr>
        <w:t>co-precipitation</w:t>
      </w:r>
      <w:r w:rsidR="00382162">
        <w:rPr>
          <w:rFonts w:ascii="Times New Roman" w:hAnsi="Times New Roman" w:cs="Times New Roman"/>
          <w:sz w:val="20"/>
          <w:szCs w:val="20"/>
        </w:rPr>
        <w:t xml:space="preserve"> </w:t>
      </w:r>
      <w:r w:rsidRPr="00382162">
        <w:rPr>
          <w:rFonts w:ascii="Times New Roman" w:hAnsi="Times New Roman" w:cs="Times New Roman"/>
          <w:sz w:val="20"/>
          <w:szCs w:val="20"/>
        </w:rPr>
        <w:t>[7]</w:t>
      </w:r>
      <w:r w:rsidR="00382162">
        <w:rPr>
          <w:rFonts w:ascii="Times New Roman" w:hAnsi="Times New Roman" w:cs="Times New Roman"/>
          <w:sz w:val="20"/>
          <w:szCs w:val="20"/>
        </w:rPr>
        <w:t>.</w:t>
      </w:r>
      <w:r w:rsidRPr="00382162">
        <w:rPr>
          <w:rFonts w:ascii="Times New Roman" w:hAnsi="Times New Roman" w:cs="Times New Roman"/>
          <w:sz w:val="20"/>
          <w:szCs w:val="20"/>
        </w:rPr>
        <w:t xml:space="preserve"> </w:t>
      </w:r>
      <w:r w:rsidR="007766F4" w:rsidRPr="00382162">
        <w:rPr>
          <w:rFonts w:ascii="Times New Roman" w:hAnsi="Times New Roman" w:cs="Times New Roman"/>
          <w:sz w:val="20"/>
          <w:szCs w:val="20"/>
        </w:rPr>
        <w:t>Flow chat for liquid waste treatment was shown in Fig</w:t>
      </w:r>
      <w:r w:rsidR="007766F4">
        <w:rPr>
          <w:rFonts w:ascii="Times New Roman" w:hAnsi="Times New Roman" w:cs="Times New Roman"/>
          <w:sz w:val="20"/>
          <w:szCs w:val="20"/>
        </w:rPr>
        <w:t>ure 2</w:t>
      </w:r>
      <w:r w:rsidR="007766F4" w:rsidRPr="00382162">
        <w:rPr>
          <w:rFonts w:ascii="Times New Roman" w:hAnsi="Times New Roman" w:cs="Times New Roman"/>
          <w:sz w:val="20"/>
          <w:szCs w:val="20"/>
        </w:rPr>
        <w:t xml:space="preserve">. </w:t>
      </w:r>
    </w:p>
    <w:p w:rsidR="007766F4" w:rsidRDefault="007766F4" w:rsidP="00382162">
      <w:pPr>
        <w:spacing w:after="60" w:line="360" w:lineRule="auto"/>
        <w:jc w:val="both"/>
        <w:rPr>
          <w:rFonts w:ascii="Times New Roman" w:hAnsi="Times New Roman" w:cs="Times New Roman"/>
          <w:sz w:val="20"/>
          <w:szCs w:val="20"/>
        </w:rPr>
      </w:pPr>
    </w:p>
    <w:p w:rsidR="00AB73FA" w:rsidRPr="00382162" w:rsidRDefault="00AB73FA" w:rsidP="007766F4">
      <w:pPr>
        <w:spacing w:after="60" w:line="360" w:lineRule="auto"/>
        <w:jc w:val="both"/>
        <w:rPr>
          <w:rFonts w:ascii="Times New Roman" w:hAnsi="Times New Roman" w:cs="Times New Roman"/>
          <w:sz w:val="20"/>
          <w:szCs w:val="20"/>
        </w:rPr>
      </w:pPr>
      <w:r w:rsidRPr="00382162">
        <w:rPr>
          <w:rFonts w:ascii="Times New Roman" w:hAnsi="Times New Roman" w:cs="Times New Roman"/>
          <w:sz w:val="20"/>
          <w:szCs w:val="20"/>
        </w:rPr>
        <w:t>For liquid waste one liter (1000 ml) – pH is adjusted to 2.5 (If acid addition is necessary, used Nitric Acid (HNO</w:t>
      </w:r>
      <w:r w:rsidRPr="00382162">
        <w:rPr>
          <w:rFonts w:ascii="Times New Roman" w:hAnsi="Times New Roman" w:cs="Times New Roman"/>
          <w:sz w:val="20"/>
          <w:szCs w:val="20"/>
          <w:vertAlign w:val="subscript"/>
        </w:rPr>
        <w:t>3</w:t>
      </w:r>
      <w:r w:rsidRPr="00382162">
        <w:rPr>
          <w:rFonts w:ascii="Times New Roman" w:hAnsi="Times New Roman" w:cs="Times New Roman"/>
          <w:sz w:val="20"/>
          <w:szCs w:val="20"/>
        </w:rPr>
        <w:t>). Ferric Chloride, FeCl</w:t>
      </w:r>
      <w:r w:rsidRPr="00382162">
        <w:rPr>
          <w:rFonts w:ascii="Times New Roman" w:hAnsi="Times New Roman" w:cs="Times New Roman"/>
          <w:sz w:val="20"/>
          <w:szCs w:val="20"/>
          <w:vertAlign w:val="subscript"/>
        </w:rPr>
        <w:t xml:space="preserve">3 </w:t>
      </w:r>
      <w:r w:rsidRPr="00382162">
        <w:rPr>
          <w:rFonts w:ascii="Times New Roman" w:hAnsi="Times New Roman" w:cs="Times New Roman"/>
          <w:sz w:val="20"/>
          <w:szCs w:val="20"/>
        </w:rPr>
        <w:t xml:space="preserve">(Fe </w:t>
      </w:r>
      <w:r w:rsidRPr="00382162">
        <w:rPr>
          <w:rFonts w:ascii="Times New Roman" w:hAnsi="Times New Roman" w:cs="Times New Roman"/>
          <w:sz w:val="20"/>
          <w:szCs w:val="20"/>
          <w:vertAlign w:val="superscript"/>
        </w:rPr>
        <w:t>+++</w:t>
      </w:r>
      <w:r w:rsidRPr="00382162">
        <w:rPr>
          <w:rFonts w:ascii="Times New Roman" w:hAnsi="Times New Roman" w:cs="Times New Roman"/>
          <w:sz w:val="20"/>
          <w:szCs w:val="20"/>
        </w:rPr>
        <w:t xml:space="preserve"> ) is added at least 6.2 ml (0.1 M) and Potassium permanganate (KMnO</w:t>
      </w:r>
      <w:r w:rsidRPr="00382162">
        <w:rPr>
          <w:rFonts w:ascii="Times New Roman" w:hAnsi="Times New Roman" w:cs="Times New Roman"/>
          <w:sz w:val="20"/>
          <w:szCs w:val="20"/>
          <w:vertAlign w:val="subscript"/>
        </w:rPr>
        <w:t>4</w:t>
      </w:r>
      <w:r w:rsidRPr="00382162">
        <w:rPr>
          <w:rFonts w:ascii="Times New Roman" w:hAnsi="Times New Roman" w:cs="Times New Roman"/>
          <w:sz w:val="20"/>
          <w:szCs w:val="20"/>
        </w:rPr>
        <w:t xml:space="preserve">)   is added until a pink coloration persists for 20 minutes. pH is adjusted to 7 to 9 by adding 2 M caustic soda (NaOH) and Stirring discontinued and allowed to age for  6 to 12 hours. Liquid treatment process for one </w:t>
      </w:r>
      <w:r w:rsidR="00382162">
        <w:rPr>
          <w:rFonts w:ascii="Times New Roman" w:hAnsi="Times New Roman" w:cs="Times New Roman"/>
          <w:sz w:val="20"/>
          <w:szCs w:val="20"/>
        </w:rPr>
        <w:t>lite</w:t>
      </w:r>
      <w:r w:rsidR="00200EC1">
        <w:rPr>
          <w:rFonts w:ascii="Times New Roman" w:hAnsi="Times New Roman" w:cs="Times New Roman"/>
          <w:sz w:val="20"/>
          <w:szCs w:val="20"/>
        </w:rPr>
        <w:t>r of waste was shown in Figure 3</w:t>
      </w:r>
      <w:r w:rsidRPr="00382162">
        <w:rPr>
          <w:rFonts w:ascii="Times New Roman" w:hAnsi="Times New Roman" w:cs="Times New Roman"/>
          <w:sz w:val="20"/>
          <w:szCs w:val="20"/>
        </w:rPr>
        <w:t xml:space="preserve">. After precipitation, decant water was passed into the activated carbon column to filter and absorb contaminants from liquid waste. Finally the decontaminated water was reduced on sand bed and then discharged to the water body or can often be disposed into ground. Sludge obtained from the filtration of filtrate was dried in an oven and finally placed in the plastic bags and temporary stored in 100 liters plastic drums. Sludge, which is generated in small volumes but which may have activity concentrations, usually has to be held in storage pending the establishment of suitable disposal facilities. The wastes can be suitable disposed of either in earthen trenches or in engineered cells, depending on the activity concentration.  </w:t>
      </w:r>
    </w:p>
    <w:p w:rsidR="00AB73FA" w:rsidRPr="00D22565" w:rsidRDefault="00AB73FA" w:rsidP="00AB73FA">
      <w:pPr>
        <w:spacing w:after="0" w:line="360" w:lineRule="auto"/>
        <w:jc w:val="both"/>
        <w:rPr>
          <w:rFonts w:ascii="Times New Roman" w:hAnsi="Times New Roman" w:cs="Times New Roman"/>
          <w:sz w:val="20"/>
          <w:szCs w:val="20"/>
        </w:rPr>
      </w:pPr>
    </w:p>
    <w:p w:rsidR="00AB73FA" w:rsidRDefault="00AB73FA" w:rsidP="00AB73FA">
      <w:pPr>
        <w:spacing w:line="360" w:lineRule="auto"/>
        <w:jc w:val="center"/>
        <w:rPr>
          <w:rFonts w:ascii="Times New Roman" w:hAnsi="Times New Roman" w:cs="Times New Roman"/>
          <w:noProof/>
          <w:sz w:val="18"/>
          <w:szCs w:val="18"/>
          <w:lang w:eastAsia="en-SG"/>
        </w:rPr>
      </w:pPr>
    </w:p>
    <w:p w:rsidR="00AB73FA" w:rsidRDefault="00AB73FA" w:rsidP="00382162">
      <w:pPr>
        <w:spacing w:line="360" w:lineRule="auto"/>
        <w:jc w:val="center"/>
        <w:rPr>
          <w:rFonts w:ascii="Times New Roman" w:hAnsi="Times New Roman" w:cs="Times New Roman"/>
          <w:sz w:val="18"/>
          <w:szCs w:val="18"/>
        </w:rPr>
      </w:pPr>
      <w:r w:rsidRPr="000574C2">
        <w:rPr>
          <w:rFonts w:ascii="Times New Roman" w:hAnsi="Times New Roman" w:cs="Times New Roman"/>
          <w:noProof/>
          <w:sz w:val="18"/>
          <w:szCs w:val="18"/>
          <w:lang w:val="en-SG" w:eastAsia="en-SG"/>
        </w:rPr>
        <w:lastRenderedPageBreak/>
        <w:drawing>
          <wp:inline distT="0" distB="0" distL="0" distR="0">
            <wp:extent cx="3657600" cy="3771900"/>
            <wp:effectExtent l="0" t="0" r="0" b="0"/>
            <wp:docPr id="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73335" cy="4482576"/>
                      <a:chOff x="1714480" y="960070"/>
                      <a:chExt cx="6673335" cy="4482576"/>
                    </a:xfrm>
                  </a:grpSpPr>
                  <a:grpSp>
                    <a:nvGrpSpPr>
                      <a:cNvPr id="53" name="Group 52"/>
                      <a:cNvGrpSpPr/>
                    </a:nvGrpSpPr>
                    <a:grpSpPr>
                      <a:xfrm>
                        <a:off x="1714480" y="960070"/>
                        <a:ext cx="6673335" cy="4482576"/>
                        <a:chOff x="1714480" y="960070"/>
                        <a:chExt cx="6673335" cy="4482576"/>
                      </a:xfrm>
                    </a:grpSpPr>
                    <a:grpSp>
                      <a:nvGrpSpPr>
                        <a:cNvPr id="3" name="Group 5"/>
                        <a:cNvGrpSpPr/>
                      </a:nvGrpSpPr>
                      <a:grpSpPr>
                        <a:xfrm>
                          <a:off x="2085052" y="960070"/>
                          <a:ext cx="4429156" cy="357190"/>
                          <a:chOff x="2214546" y="1000108"/>
                          <a:chExt cx="4500594" cy="357190"/>
                        </a:xfrm>
                      </a:grpSpPr>
                      <a:sp>
                        <a:nvSpPr>
                          <a:cNvPr id="6" name="Rectangle 4"/>
                          <a:cNvSpPr/>
                        </a:nvSpPr>
                        <a:spPr>
                          <a:xfrm>
                            <a:off x="2214546" y="1000108"/>
                            <a:ext cx="4500594" cy="357190"/>
                          </a:xfrm>
                          <a:prstGeom prst="rec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SG" dirty="0"/>
                            </a:p>
                          </a:txBody>
                          <a:useSpRect/>
                        </a:txSp>
                        <a:style>
                          <a:lnRef idx="2">
                            <a:schemeClr val="accent1"/>
                          </a:lnRef>
                          <a:fillRef idx="1">
                            <a:schemeClr val="lt1"/>
                          </a:fillRef>
                          <a:effectRef idx="0">
                            <a:schemeClr val="accent1"/>
                          </a:effectRef>
                          <a:fontRef idx="minor">
                            <a:schemeClr val="dk1"/>
                          </a:fontRef>
                        </a:style>
                      </a:sp>
                      <a:sp>
                        <a:nvSpPr>
                          <a:cNvPr id="7" name="TextBox 3"/>
                          <a:cNvSpPr txBox="1"/>
                        </a:nvSpPr>
                        <a:spPr>
                          <a:xfrm>
                            <a:off x="2285984" y="1000108"/>
                            <a:ext cx="428556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Liquid waste from Rare Earth Processing</a:t>
                              </a:r>
                              <a:endParaRPr lang="en-SG" sz="1600" dirty="0">
                                <a:latin typeface="Times New Roman" pitchFamily="18" charset="0"/>
                                <a:cs typeface="Times New Roman" pitchFamily="18" charset="0"/>
                              </a:endParaRPr>
                            </a:p>
                          </a:txBody>
                          <a:useSpRect/>
                        </a:txSp>
                      </a:sp>
                    </a:grpSp>
                    <a:grpSp>
                      <a:nvGrpSpPr>
                        <a:cNvPr id="4" name="Group 7"/>
                        <a:cNvGrpSpPr/>
                      </a:nvGrpSpPr>
                      <a:grpSpPr>
                        <a:xfrm>
                          <a:off x="2500298" y="1887632"/>
                          <a:ext cx="3500462" cy="357190"/>
                          <a:chOff x="2214546" y="1000108"/>
                          <a:chExt cx="4500594" cy="357190"/>
                        </a:xfrm>
                      </a:grpSpPr>
                      <a:sp>
                        <a:nvSpPr>
                          <a:cNvPr id="9" name="Rectangle 8"/>
                          <a:cNvSpPr/>
                        </a:nvSpPr>
                        <a:spPr>
                          <a:xfrm>
                            <a:off x="2214546" y="1000108"/>
                            <a:ext cx="4500594" cy="357190"/>
                          </a:xfrm>
                          <a:prstGeom prst="rec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SG" dirty="0"/>
                            </a:p>
                          </a:txBody>
                          <a:useSpRect/>
                        </a:txSp>
                        <a:style>
                          <a:lnRef idx="2">
                            <a:schemeClr val="accent1"/>
                          </a:lnRef>
                          <a:fillRef idx="1">
                            <a:schemeClr val="lt1"/>
                          </a:fillRef>
                          <a:effectRef idx="0">
                            <a:schemeClr val="accent1"/>
                          </a:effectRef>
                          <a:fontRef idx="minor">
                            <a:schemeClr val="dk1"/>
                          </a:fontRef>
                        </a:style>
                      </a:sp>
                      <a:sp>
                        <a:nvSpPr>
                          <a:cNvPr id="10" name="TextBox 9"/>
                          <a:cNvSpPr txBox="1"/>
                        </a:nvSpPr>
                        <a:spPr>
                          <a:xfrm>
                            <a:off x="2285984" y="1000108"/>
                            <a:ext cx="428556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Chemical Precipitation</a:t>
                              </a:r>
                              <a:endParaRPr lang="en-SG" sz="1600" dirty="0">
                                <a:latin typeface="Times New Roman" pitchFamily="18" charset="0"/>
                                <a:cs typeface="Times New Roman" pitchFamily="18" charset="0"/>
                              </a:endParaRPr>
                            </a:p>
                          </a:txBody>
                          <a:useSpRect/>
                        </a:txSp>
                      </a:sp>
                    </a:grpSp>
                    <a:grpSp>
                      <a:nvGrpSpPr>
                        <a:cNvPr id="5" name="Group 11"/>
                        <a:cNvGrpSpPr/>
                      </a:nvGrpSpPr>
                      <a:grpSpPr>
                        <a:xfrm>
                          <a:off x="2143108" y="3273982"/>
                          <a:ext cx="1928826" cy="369332"/>
                          <a:chOff x="3316732" y="1000108"/>
                          <a:chExt cx="2479919" cy="369332"/>
                        </a:xfrm>
                      </a:grpSpPr>
                      <a:sp>
                        <a:nvSpPr>
                          <a:cNvPr id="2" name="Rectangle 12"/>
                          <a:cNvSpPr/>
                        </a:nvSpPr>
                        <a:spPr>
                          <a:xfrm>
                            <a:off x="3316732" y="1012250"/>
                            <a:ext cx="2479919" cy="357190"/>
                          </a:xfrm>
                          <a:prstGeom prst="rec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SG" dirty="0"/>
                            </a:p>
                          </a:txBody>
                          <a:useSpRect/>
                        </a:txSp>
                        <a:style>
                          <a:lnRef idx="2">
                            <a:schemeClr val="accent1"/>
                          </a:lnRef>
                          <a:fillRef idx="1">
                            <a:schemeClr val="lt1"/>
                          </a:fillRef>
                          <a:effectRef idx="0">
                            <a:schemeClr val="accent1"/>
                          </a:effectRef>
                          <a:fontRef idx="minor">
                            <a:schemeClr val="dk1"/>
                          </a:fontRef>
                        </a:style>
                      </a:sp>
                      <a:sp>
                        <a:nvSpPr>
                          <a:cNvPr id="14" name="TextBox 13"/>
                          <a:cNvSpPr txBox="1"/>
                        </a:nvSpPr>
                        <a:spPr>
                          <a:xfrm>
                            <a:off x="3592281" y="1000108"/>
                            <a:ext cx="2020673"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 Precipitant</a:t>
                              </a:r>
                              <a:endParaRPr lang="en-SG" sz="1600" dirty="0">
                                <a:latin typeface="Times New Roman" pitchFamily="18" charset="0"/>
                                <a:cs typeface="Times New Roman" pitchFamily="18" charset="0"/>
                              </a:endParaRPr>
                            </a:p>
                          </a:txBody>
                          <a:useSpRect/>
                        </a:txSp>
                      </a:sp>
                    </a:grpSp>
                    <a:sp>
                      <a:nvSpPr>
                        <a:cNvPr id="21" name="Left-Right Arrow 20"/>
                        <a:cNvSpPr/>
                      </a:nvSpPr>
                      <a:spPr>
                        <a:xfrm>
                          <a:off x="3185650" y="2787190"/>
                          <a:ext cx="1928826" cy="71438"/>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Down Arrow 21"/>
                        <a:cNvSpPr/>
                      </a:nvSpPr>
                      <a:spPr>
                        <a:xfrm>
                          <a:off x="3171136" y="2786058"/>
                          <a:ext cx="56924" cy="50006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Down Arrow 23"/>
                        <a:cNvSpPr/>
                      </a:nvSpPr>
                      <a:spPr>
                        <a:xfrm>
                          <a:off x="5086580" y="2786058"/>
                          <a:ext cx="56924" cy="50006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Down Arrow 24"/>
                        <a:cNvSpPr/>
                      </a:nvSpPr>
                      <a:spPr>
                        <a:xfrm>
                          <a:off x="3171136" y="3657828"/>
                          <a:ext cx="56924" cy="50006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Down Arrow 25"/>
                        <a:cNvSpPr/>
                      </a:nvSpPr>
                      <a:spPr>
                        <a:xfrm>
                          <a:off x="5086580" y="3643314"/>
                          <a:ext cx="56924" cy="50006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 name="Group 26"/>
                        <a:cNvGrpSpPr/>
                      </a:nvGrpSpPr>
                      <a:grpSpPr>
                        <a:xfrm>
                          <a:off x="2143108" y="4166596"/>
                          <a:ext cx="1928826" cy="369332"/>
                          <a:chOff x="3316732" y="1000108"/>
                          <a:chExt cx="2479919" cy="369332"/>
                        </a:xfrm>
                      </a:grpSpPr>
                      <a:sp>
                        <a:nvSpPr>
                          <a:cNvPr id="28" name="Rectangle 27"/>
                          <a:cNvSpPr/>
                        </a:nvSpPr>
                        <a:spPr>
                          <a:xfrm>
                            <a:off x="3316732" y="1012250"/>
                            <a:ext cx="2479919" cy="357190"/>
                          </a:xfrm>
                          <a:prstGeom prst="rec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SG" dirty="0"/>
                            </a:p>
                          </a:txBody>
                          <a:useSpRect/>
                        </a:txSp>
                        <a:style>
                          <a:lnRef idx="2">
                            <a:schemeClr val="accent1"/>
                          </a:lnRef>
                          <a:fillRef idx="1">
                            <a:schemeClr val="lt1"/>
                          </a:fillRef>
                          <a:effectRef idx="0">
                            <a:schemeClr val="accent1"/>
                          </a:effectRef>
                          <a:fontRef idx="minor">
                            <a:schemeClr val="dk1"/>
                          </a:fontRef>
                        </a:style>
                      </a:sp>
                      <a:sp>
                        <a:nvSpPr>
                          <a:cNvPr id="29" name="TextBox 28"/>
                          <a:cNvSpPr txBox="1"/>
                        </a:nvSpPr>
                        <a:spPr>
                          <a:xfrm>
                            <a:off x="3592281" y="1000108"/>
                            <a:ext cx="2020673"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 Sludge</a:t>
                              </a:r>
                              <a:endParaRPr lang="en-SG" sz="1600" dirty="0">
                                <a:latin typeface="Times New Roman" pitchFamily="18" charset="0"/>
                                <a:cs typeface="Times New Roman" pitchFamily="18" charset="0"/>
                              </a:endParaRPr>
                            </a:p>
                          </a:txBody>
                          <a:useSpRect/>
                        </a:txSp>
                      </a:sp>
                    </a:grpSp>
                    <a:grpSp>
                      <a:nvGrpSpPr>
                        <a:cNvPr id="12" name="Group 29"/>
                        <a:cNvGrpSpPr/>
                      </a:nvGrpSpPr>
                      <a:grpSpPr>
                        <a:xfrm>
                          <a:off x="4214810" y="4159134"/>
                          <a:ext cx="2428892" cy="369332"/>
                          <a:chOff x="3316732" y="1000108"/>
                          <a:chExt cx="2479919" cy="369332"/>
                        </a:xfrm>
                      </a:grpSpPr>
                      <a:sp>
                        <a:nvSpPr>
                          <a:cNvPr id="31" name="Rectangle 30"/>
                          <a:cNvSpPr/>
                        </a:nvSpPr>
                        <a:spPr>
                          <a:xfrm>
                            <a:off x="3316732" y="1012250"/>
                            <a:ext cx="2479919" cy="357190"/>
                          </a:xfrm>
                          <a:prstGeom prst="rec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SG" dirty="0"/>
                            </a:p>
                          </a:txBody>
                          <a:useSpRect/>
                        </a:txSp>
                        <a:style>
                          <a:lnRef idx="2">
                            <a:schemeClr val="accent1"/>
                          </a:lnRef>
                          <a:fillRef idx="1">
                            <a:schemeClr val="lt1"/>
                          </a:fillRef>
                          <a:effectRef idx="0">
                            <a:schemeClr val="accent1"/>
                          </a:effectRef>
                          <a:fontRef idx="minor">
                            <a:schemeClr val="dk1"/>
                          </a:fontRef>
                        </a:style>
                      </a:sp>
                      <a:sp>
                        <a:nvSpPr>
                          <a:cNvPr id="32" name="TextBox 31"/>
                          <a:cNvSpPr txBox="1"/>
                        </a:nvSpPr>
                        <a:spPr>
                          <a:xfrm>
                            <a:off x="3592281" y="1000108"/>
                            <a:ext cx="2020674"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latin typeface="Times New Roman" pitchFamily="18" charset="0"/>
                                  <a:cs typeface="Times New Roman" pitchFamily="18" charset="0"/>
                                </a:rPr>
                                <a:t> </a:t>
                              </a:r>
                              <a:endParaRPr lang="en-SG" dirty="0">
                                <a:latin typeface="Times New Roman" pitchFamily="18" charset="0"/>
                                <a:cs typeface="Times New Roman" pitchFamily="18" charset="0"/>
                              </a:endParaRPr>
                            </a:p>
                          </a:txBody>
                          <a:useSpRect/>
                        </a:txSp>
                      </a:sp>
                    </a:grpSp>
                    <a:grpSp>
                      <a:nvGrpSpPr>
                        <a:cNvPr id="13" name="Group 32"/>
                        <a:cNvGrpSpPr/>
                      </a:nvGrpSpPr>
                      <a:grpSpPr>
                        <a:xfrm>
                          <a:off x="4214810" y="3286124"/>
                          <a:ext cx="1928826" cy="369332"/>
                          <a:chOff x="3316732" y="1000108"/>
                          <a:chExt cx="2479919" cy="369332"/>
                        </a:xfrm>
                      </a:grpSpPr>
                      <a:sp>
                        <a:nvSpPr>
                          <a:cNvPr id="34" name="Rectangle 33"/>
                          <a:cNvSpPr/>
                        </a:nvSpPr>
                        <a:spPr>
                          <a:xfrm>
                            <a:off x="3316732" y="1012250"/>
                            <a:ext cx="2479919" cy="357190"/>
                          </a:xfrm>
                          <a:prstGeom prst="rec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SG" dirty="0"/>
                            </a:p>
                          </a:txBody>
                          <a:useSpRect/>
                        </a:txSp>
                        <a:style>
                          <a:lnRef idx="2">
                            <a:schemeClr val="accent1"/>
                          </a:lnRef>
                          <a:fillRef idx="1">
                            <a:schemeClr val="lt1"/>
                          </a:fillRef>
                          <a:effectRef idx="0">
                            <a:schemeClr val="accent1"/>
                          </a:effectRef>
                          <a:fontRef idx="minor">
                            <a:schemeClr val="dk1"/>
                          </a:fontRef>
                        </a:style>
                      </a:sp>
                      <a:sp>
                        <a:nvSpPr>
                          <a:cNvPr id="35" name="TextBox 34"/>
                          <a:cNvSpPr txBox="1"/>
                        </a:nvSpPr>
                        <a:spPr>
                          <a:xfrm>
                            <a:off x="3592281" y="1000108"/>
                            <a:ext cx="2020674"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latin typeface="Times New Roman" pitchFamily="18" charset="0"/>
                                  <a:cs typeface="Times New Roman" pitchFamily="18" charset="0"/>
                                </a:rPr>
                                <a:t> </a:t>
                              </a:r>
                              <a:r>
                                <a:rPr lang="en-US" sz="1600" dirty="0" smtClean="0">
                                  <a:latin typeface="Times New Roman" pitchFamily="18" charset="0"/>
                                  <a:cs typeface="Times New Roman" pitchFamily="18" charset="0"/>
                                </a:rPr>
                                <a:t>Decant Water</a:t>
                              </a:r>
                              <a:endParaRPr lang="en-SG" sz="1600" dirty="0">
                                <a:latin typeface="Times New Roman" pitchFamily="18" charset="0"/>
                                <a:cs typeface="Times New Roman" pitchFamily="18" charset="0"/>
                              </a:endParaRPr>
                            </a:p>
                          </a:txBody>
                          <a:useSpRect/>
                        </a:txSp>
                      </a:sp>
                    </a:grpSp>
                    <a:sp>
                      <a:nvSpPr>
                        <a:cNvPr id="36" name="TextBox 35"/>
                        <a:cNvSpPr txBox="1"/>
                      </a:nvSpPr>
                      <a:spPr>
                        <a:xfrm>
                          <a:off x="1714480" y="3714752"/>
                          <a:ext cx="1210588"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Dry in Oven</a:t>
                            </a:r>
                            <a:endParaRPr lang="en-SG" sz="1600" dirty="0">
                              <a:latin typeface="Times New Roman" pitchFamily="18" charset="0"/>
                              <a:cs typeface="Times New Roman" pitchFamily="18" charset="0"/>
                            </a:endParaRPr>
                          </a:p>
                        </a:txBody>
                        <a:useSpRect/>
                      </a:txSp>
                    </a:sp>
                    <a:sp>
                      <a:nvSpPr>
                        <a:cNvPr id="37" name="TextBox 36"/>
                        <a:cNvSpPr txBox="1"/>
                      </a:nvSpPr>
                      <a:spPr>
                        <a:xfrm>
                          <a:off x="5357818" y="3714752"/>
                          <a:ext cx="3029997"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Passed in activated carbon column</a:t>
                            </a:r>
                            <a:endParaRPr lang="en-SG" sz="1600" dirty="0">
                              <a:latin typeface="Times New Roman" pitchFamily="18" charset="0"/>
                              <a:cs typeface="Times New Roman" pitchFamily="18" charset="0"/>
                            </a:endParaRPr>
                          </a:p>
                        </a:txBody>
                        <a:useSpRect/>
                      </a:txSp>
                    </a:sp>
                    <a:sp>
                      <a:nvSpPr>
                        <a:cNvPr id="38" name="Rectangle 37"/>
                        <a:cNvSpPr/>
                      </a:nvSpPr>
                      <a:spPr>
                        <a:xfrm>
                          <a:off x="4214810" y="4143380"/>
                          <a:ext cx="2067296" cy="338554"/>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Decontaminated </a:t>
                            </a:r>
                            <a:r>
                              <a:rPr lang="en-US" sz="1600" dirty="0" smtClean="0">
                                <a:latin typeface="Times New Roman" pitchFamily="18" charset="0"/>
                                <a:cs typeface="Times New Roman" pitchFamily="18" charset="0"/>
                              </a:rPr>
                              <a:t>Water</a:t>
                            </a:r>
                            <a:endParaRPr lang="en-SG" sz="1600" dirty="0">
                              <a:latin typeface="Times New Roman" pitchFamily="18" charset="0"/>
                              <a:cs typeface="Times New Roman" pitchFamily="18" charset="0"/>
                            </a:endParaRPr>
                          </a:p>
                        </a:txBody>
                        <a:useSpRect/>
                      </a:txSp>
                    </a:sp>
                    <a:grpSp>
                      <a:nvGrpSpPr>
                        <a:cNvPr id="17" name="Group 38"/>
                        <a:cNvGrpSpPr/>
                      </a:nvGrpSpPr>
                      <a:grpSpPr>
                        <a:xfrm>
                          <a:off x="4214810" y="5073314"/>
                          <a:ext cx="1928826" cy="369332"/>
                          <a:chOff x="3316732" y="1000108"/>
                          <a:chExt cx="2479919" cy="369332"/>
                        </a:xfrm>
                      </a:grpSpPr>
                      <a:sp>
                        <a:nvSpPr>
                          <a:cNvPr id="40" name="Rectangle 39"/>
                          <a:cNvSpPr/>
                        </a:nvSpPr>
                        <a:spPr>
                          <a:xfrm>
                            <a:off x="3316732" y="1012250"/>
                            <a:ext cx="2479919" cy="357190"/>
                          </a:xfrm>
                          <a:prstGeom prst="rec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SG" dirty="0"/>
                            </a:p>
                          </a:txBody>
                          <a:useSpRect/>
                        </a:txSp>
                        <a:style>
                          <a:lnRef idx="2">
                            <a:schemeClr val="accent1"/>
                          </a:lnRef>
                          <a:fillRef idx="1">
                            <a:schemeClr val="lt1"/>
                          </a:fillRef>
                          <a:effectRef idx="0">
                            <a:schemeClr val="accent1"/>
                          </a:effectRef>
                          <a:fontRef idx="minor">
                            <a:schemeClr val="dk1"/>
                          </a:fontRef>
                        </a:style>
                      </a:sp>
                      <a:sp>
                        <a:nvSpPr>
                          <a:cNvPr id="41" name="TextBox 40"/>
                          <a:cNvSpPr txBox="1"/>
                        </a:nvSpPr>
                        <a:spPr>
                          <a:xfrm>
                            <a:off x="3592281" y="1000108"/>
                            <a:ext cx="2020674"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latin typeface="Times New Roman" pitchFamily="18" charset="0"/>
                                  <a:cs typeface="Times New Roman" pitchFamily="18" charset="0"/>
                                </a:rPr>
                                <a:t> </a:t>
                              </a:r>
                              <a:r>
                                <a:rPr lang="en-US" sz="1600" dirty="0" smtClean="0">
                                  <a:latin typeface="Times New Roman" pitchFamily="18" charset="0"/>
                                  <a:cs typeface="Times New Roman" pitchFamily="18" charset="0"/>
                                </a:rPr>
                                <a:t>Drain</a:t>
                              </a:r>
                              <a:endParaRPr lang="en-SG" sz="1600" dirty="0">
                                <a:latin typeface="Times New Roman" pitchFamily="18" charset="0"/>
                                <a:cs typeface="Times New Roman" pitchFamily="18" charset="0"/>
                              </a:endParaRPr>
                            </a:p>
                          </a:txBody>
                          <a:useSpRect/>
                        </a:txSp>
                      </a:sp>
                    </a:grpSp>
                    <a:sp>
                      <a:nvSpPr>
                        <a:cNvPr id="42" name="Down Arrow 41"/>
                        <a:cNvSpPr/>
                      </a:nvSpPr>
                      <a:spPr>
                        <a:xfrm>
                          <a:off x="5072066" y="4557494"/>
                          <a:ext cx="56924" cy="50006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TextBox 42"/>
                        <a:cNvSpPr txBox="1"/>
                      </a:nvSpPr>
                      <a:spPr>
                        <a:xfrm>
                          <a:off x="5286380" y="4631304"/>
                          <a:ext cx="2452082"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latin typeface="Times New Roman" pitchFamily="18" charset="0"/>
                                <a:cs typeface="Times New Roman" pitchFamily="18" charset="0"/>
                              </a:rPr>
                              <a:t>Volume reduce on sand bed</a:t>
                            </a:r>
                            <a:endParaRPr lang="en-SG" sz="1600" dirty="0">
                              <a:latin typeface="Times New Roman" pitchFamily="18" charset="0"/>
                              <a:cs typeface="Times New Roman" pitchFamily="18" charset="0"/>
                            </a:endParaRPr>
                          </a:p>
                        </a:txBody>
                        <a:useSpRect/>
                      </a:txSp>
                    </a:sp>
                    <a:grpSp>
                      <a:nvGrpSpPr>
                        <a:cNvPr id="20" name="Group 43"/>
                        <a:cNvGrpSpPr/>
                      </a:nvGrpSpPr>
                      <a:grpSpPr>
                        <a:xfrm>
                          <a:off x="2143108" y="5072074"/>
                          <a:ext cx="1928826" cy="369332"/>
                          <a:chOff x="3316732" y="1000108"/>
                          <a:chExt cx="2479919" cy="369332"/>
                        </a:xfrm>
                      </a:grpSpPr>
                      <a:sp>
                        <a:nvSpPr>
                          <a:cNvPr id="45" name="Rectangle 44"/>
                          <a:cNvSpPr/>
                        </a:nvSpPr>
                        <a:spPr>
                          <a:xfrm>
                            <a:off x="3316732" y="1012250"/>
                            <a:ext cx="2479919" cy="357190"/>
                          </a:xfrm>
                          <a:prstGeom prst="rect">
                            <a:avLst/>
                          </a:prstGeom>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SG" dirty="0"/>
                            </a:p>
                          </a:txBody>
                          <a:useSpRect/>
                        </a:txSp>
                        <a:style>
                          <a:lnRef idx="2">
                            <a:schemeClr val="accent1"/>
                          </a:lnRef>
                          <a:fillRef idx="1">
                            <a:schemeClr val="lt1"/>
                          </a:fillRef>
                          <a:effectRef idx="0">
                            <a:schemeClr val="accent1"/>
                          </a:effectRef>
                          <a:fontRef idx="minor">
                            <a:schemeClr val="dk1"/>
                          </a:fontRef>
                        </a:style>
                      </a:sp>
                      <a:sp>
                        <a:nvSpPr>
                          <a:cNvPr id="46" name="TextBox 45"/>
                          <a:cNvSpPr txBox="1"/>
                        </a:nvSpPr>
                        <a:spPr>
                          <a:xfrm>
                            <a:off x="3592281" y="1000108"/>
                            <a:ext cx="2020673"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latin typeface="Times New Roman" pitchFamily="18" charset="0"/>
                                  <a:cs typeface="Times New Roman" pitchFamily="18" charset="0"/>
                                </a:rPr>
                                <a:t>Storage</a:t>
                              </a:r>
                              <a:endParaRPr lang="en-SG" sz="1600" dirty="0">
                                <a:latin typeface="Times New Roman" pitchFamily="18" charset="0"/>
                                <a:cs typeface="Times New Roman" pitchFamily="18" charset="0"/>
                              </a:endParaRPr>
                            </a:p>
                          </a:txBody>
                          <a:useSpRect/>
                        </a:txSp>
                      </a:sp>
                    </a:grpSp>
                    <a:sp>
                      <a:nvSpPr>
                        <a:cNvPr id="47" name="Down Arrow 46"/>
                        <a:cNvSpPr/>
                      </a:nvSpPr>
                      <a:spPr>
                        <a:xfrm>
                          <a:off x="3143240" y="4557494"/>
                          <a:ext cx="56924" cy="50006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Down Arrow 47"/>
                        <a:cNvSpPr/>
                      </a:nvSpPr>
                      <a:spPr>
                        <a:xfrm>
                          <a:off x="4100962" y="2272610"/>
                          <a:ext cx="56924" cy="50006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Down Arrow 48"/>
                        <a:cNvSpPr/>
                      </a:nvSpPr>
                      <a:spPr>
                        <a:xfrm>
                          <a:off x="4086448" y="1345048"/>
                          <a:ext cx="56924" cy="50006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AB73FA" w:rsidRDefault="00AB73FA" w:rsidP="00AB73FA">
      <w:pPr>
        <w:spacing w:after="60" w:line="360" w:lineRule="auto"/>
        <w:jc w:val="center"/>
        <w:rPr>
          <w:rFonts w:ascii="Times New Roman" w:hAnsi="Times New Roman" w:cs="Times New Roman"/>
          <w:sz w:val="20"/>
          <w:szCs w:val="20"/>
        </w:rPr>
      </w:pPr>
    </w:p>
    <w:p w:rsidR="00AB73FA" w:rsidRDefault="00AB73FA" w:rsidP="00AB73FA">
      <w:pPr>
        <w:spacing w:after="60" w:line="360" w:lineRule="auto"/>
        <w:jc w:val="center"/>
        <w:rPr>
          <w:rFonts w:ascii="Times New Roman" w:hAnsi="Times New Roman" w:cs="Times New Roman"/>
          <w:sz w:val="20"/>
          <w:szCs w:val="20"/>
        </w:rPr>
      </w:pPr>
      <w:r w:rsidRPr="00382162">
        <w:rPr>
          <w:rFonts w:ascii="Times New Roman" w:hAnsi="Times New Roman" w:cs="Times New Roman"/>
          <w:b/>
          <w:sz w:val="20"/>
          <w:szCs w:val="20"/>
        </w:rPr>
        <w:t>Fig</w:t>
      </w:r>
      <w:r w:rsidR="00382162" w:rsidRPr="00382162">
        <w:rPr>
          <w:rFonts w:ascii="Times New Roman" w:hAnsi="Times New Roman" w:cs="Times New Roman"/>
          <w:b/>
          <w:sz w:val="20"/>
          <w:szCs w:val="20"/>
        </w:rPr>
        <w:t>ure</w:t>
      </w:r>
      <w:r w:rsidR="007766F4">
        <w:rPr>
          <w:rFonts w:ascii="Times New Roman" w:hAnsi="Times New Roman" w:cs="Times New Roman"/>
          <w:b/>
          <w:sz w:val="20"/>
          <w:szCs w:val="20"/>
        </w:rPr>
        <w:t xml:space="preserve"> </w:t>
      </w:r>
      <w:r w:rsidR="00CF3A4D">
        <w:rPr>
          <w:rFonts w:ascii="Times New Roman" w:hAnsi="Times New Roman" w:cs="Times New Roman"/>
          <w:b/>
          <w:sz w:val="20"/>
          <w:szCs w:val="20"/>
        </w:rPr>
        <w:t>2</w:t>
      </w:r>
      <w:r w:rsidR="00382162" w:rsidRPr="00382162">
        <w:rPr>
          <w:rFonts w:ascii="Times New Roman" w:hAnsi="Times New Roman" w:cs="Times New Roman"/>
          <w:b/>
          <w:sz w:val="20"/>
          <w:szCs w:val="20"/>
        </w:rPr>
        <w:t>:</w:t>
      </w:r>
      <w:r w:rsidR="00382162">
        <w:rPr>
          <w:rFonts w:ascii="Times New Roman" w:hAnsi="Times New Roman" w:cs="Times New Roman"/>
          <w:sz w:val="20"/>
          <w:szCs w:val="20"/>
        </w:rPr>
        <w:t xml:space="preserve"> f</w:t>
      </w:r>
      <w:r>
        <w:rPr>
          <w:rFonts w:ascii="Times New Roman" w:hAnsi="Times New Roman" w:cs="Times New Roman"/>
          <w:sz w:val="20"/>
          <w:szCs w:val="20"/>
        </w:rPr>
        <w:t>low chat for liquid waste treatment</w:t>
      </w:r>
    </w:p>
    <w:p w:rsidR="00AB73FA" w:rsidRPr="00375053" w:rsidRDefault="00AB73FA" w:rsidP="00AB73FA">
      <w:pPr>
        <w:spacing w:after="60" w:line="360" w:lineRule="auto"/>
        <w:jc w:val="center"/>
        <w:rPr>
          <w:rFonts w:ascii="Times New Roman" w:hAnsi="Times New Roman" w:cs="Times New Roman"/>
          <w:sz w:val="20"/>
          <w:szCs w:val="20"/>
        </w:rPr>
      </w:pPr>
    </w:p>
    <w:p w:rsidR="00AB73FA" w:rsidRDefault="00AB73FA" w:rsidP="00382162">
      <w:pPr>
        <w:spacing w:line="360" w:lineRule="auto"/>
        <w:jc w:val="center"/>
        <w:rPr>
          <w:rFonts w:ascii="Times New Roman" w:hAnsi="Times New Roman" w:cs="Times New Roman"/>
          <w:sz w:val="20"/>
          <w:szCs w:val="20"/>
        </w:rPr>
      </w:pPr>
      <w:r w:rsidRPr="00932D57">
        <w:rPr>
          <w:rFonts w:ascii="Times New Roman" w:hAnsi="Times New Roman" w:cs="Times New Roman"/>
          <w:noProof/>
          <w:sz w:val="18"/>
          <w:szCs w:val="18"/>
          <w:lang w:val="en-SG" w:eastAsia="en-SG"/>
        </w:rPr>
        <w:drawing>
          <wp:inline distT="0" distB="0" distL="0" distR="0">
            <wp:extent cx="3667125" cy="3552825"/>
            <wp:effectExtent l="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57920" cy="5732626"/>
                      <a:chOff x="1643040" y="571480"/>
                      <a:chExt cx="5857920" cy="5732626"/>
                    </a:xfrm>
                  </a:grpSpPr>
                  <a:grpSp>
                    <a:nvGrpSpPr>
                      <a:cNvPr id="4" name="Group 3"/>
                      <a:cNvGrpSpPr/>
                    </a:nvGrpSpPr>
                    <a:grpSpPr>
                      <a:xfrm>
                        <a:off x="1643040" y="571480"/>
                        <a:ext cx="5857920" cy="5732626"/>
                        <a:chOff x="712466" y="785794"/>
                        <a:chExt cx="6859930" cy="6019259"/>
                      </a:xfrm>
                    </a:grpSpPr>
                    <a:pic>
                      <a:nvPicPr>
                        <a:cNvPr id="5" name="Picture 4"/>
                        <a:cNvPicPr>
                          <a:picLocks noChangeAspect="1" noChangeArrowheads="1"/>
                        </a:cNvPicPr>
                      </a:nvPicPr>
                      <a:blipFill>
                        <a:blip r:embed="rId10" cstate="print"/>
                        <a:srcRect/>
                        <a:stretch>
                          <a:fillRect/>
                        </a:stretch>
                      </a:blipFill>
                      <a:spPr bwMode="auto">
                        <a:xfrm>
                          <a:off x="6269887" y="785794"/>
                          <a:ext cx="1302509" cy="1666298"/>
                        </a:xfrm>
                        <a:prstGeom prst="rect">
                          <a:avLst/>
                        </a:prstGeom>
                        <a:noFill/>
                        <a:ln w="9525">
                          <a:noFill/>
                          <a:miter lim="800000"/>
                          <a:headEnd/>
                          <a:tailEnd/>
                        </a:ln>
                        <a:effectLst/>
                      </a:spPr>
                    </a:pic>
                    <a:pic>
                      <a:nvPicPr>
                        <a:cNvPr id="6" name="Picture 5"/>
                        <a:cNvPicPr>
                          <a:picLocks noChangeAspect="1" noChangeArrowheads="1"/>
                        </a:cNvPicPr>
                      </a:nvPicPr>
                      <a:blipFill>
                        <a:blip r:embed="rId11" cstate="print"/>
                        <a:srcRect/>
                        <a:stretch>
                          <a:fillRect/>
                        </a:stretch>
                      </a:blipFill>
                      <a:spPr bwMode="auto">
                        <a:xfrm>
                          <a:off x="6253194" y="2584464"/>
                          <a:ext cx="1319202" cy="1758936"/>
                        </a:xfrm>
                        <a:prstGeom prst="rect">
                          <a:avLst/>
                        </a:prstGeom>
                        <a:noFill/>
                        <a:ln w="9525">
                          <a:noFill/>
                          <a:miter lim="800000"/>
                          <a:headEnd/>
                          <a:tailEnd/>
                        </a:ln>
                        <a:effectLst/>
                      </a:spPr>
                    </a:pic>
                    <a:pic>
                      <a:nvPicPr>
                        <a:cNvPr id="7" name="Picture 6"/>
                        <a:cNvPicPr>
                          <a:picLocks noChangeAspect="1" noChangeArrowheads="1"/>
                        </a:cNvPicPr>
                      </a:nvPicPr>
                      <a:blipFill>
                        <a:blip r:embed="rId12" cstate="print"/>
                        <a:srcRect/>
                        <a:stretch>
                          <a:fillRect/>
                        </a:stretch>
                      </a:blipFill>
                      <a:spPr bwMode="auto">
                        <a:xfrm>
                          <a:off x="6286512" y="4572008"/>
                          <a:ext cx="1285884" cy="1714512"/>
                        </a:xfrm>
                        <a:prstGeom prst="rect">
                          <a:avLst/>
                        </a:prstGeom>
                        <a:noFill/>
                        <a:ln w="9525">
                          <a:noFill/>
                          <a:miter lim="800000"/>
                          <a:headEnd/>
                          <a:tailEnd/>
                        </a:ln>
                        <a:effectLst/>
                      </a:spPr>
                    </a:pic>
                    <a:sp>
                      <a:nvSpPr>
                        <a:cNvPr id="8" name="TextBox 6"/>
                        <a:cNvSpPr txBox="1"/>
                      </a:nvSpPr>
                      <a:spPr>
                        <a:xfrm>
                          <a:off x="2254358" y="6417254"/>
                          <a:ext cx="216330" cy="3877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SG" dirty="0">
                              <a:latin typeface="Times New Roman" pitchFamily="18" charset="0"/>
                              <a:cs typeface="Times New Roman" pitchFamily="18" charset="0"/>
                            </a:endParaRPr>
                          </a:p>
                        </a:txBody>
                        <a:useSpRect/>
                      </a:txSp>
                    </a:sp>
                    <a:sp>
                      <a:nvSpPr>
                        <a:cNvPr id="9" name="TextBox 7"/>
                        <a:cNvSpPr txBox="1"/>
                      </a:nvSpPr>
                      <a:spPr>
                        <a:xfrm>
                          <a:off x="2745311" y="1163993"/>
                          <a:ext cx="3070274" cy="3877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Liquid Waste (1000 ml)</a:t>
                            </a:r>
                            <a:endParaRPr lang="en-SG" dirty="0">
                              <a:latin typeface="Times New Roman" pitchFamily="18" charset="0"/>
                              <a:cs typeface="Times New Roman" pitchFamily="18" charset="0"/>
                            </a:endParaRPr>
                          </a:p>
                        </a:txBody>
                        <a:useSpRect/>
                      </a:txSp>
                    </a:sp>
                    <a:sp>
                      <a:nvSpPr>
                        <a:cNvPr id="10" name="Down Arrow 9"/>
                        <a:cNvSpPr/>
                      </a:nvSpPr>
                      <a:spPr>
                        <a:xfrm flipH="1">
                          <a:off x="4117652" y="1643050"/>
                          <a:ext cx="45719" cy="785818"/>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1" name="Group 10"/>
                        <a:cNvGrpSpPr/>
                      </a:nvGrpSpPr>
                      <a:grpSpPr>
                        <a:xfrm>
                          <a:off x="1214414" y="1753574"/>
                          <a:ext cx="2000264" cy="649536"/>
                          <a:chOff x="1214414" y="1753574"/>
                          <a:chExt cx="2000264" cy="649536"/>
                        </a:xfrm>
                      </a:grpSpPr>
                      <a:sp>
                        <a:nvSpPr>
                          <a:cNvPr id="25" name="Rectangle 24"/>
                          <a:cNvSpPr/>
                        </a:nvSpPr>
                        <a:spPr>
                          <a:xfrm>
                            <a:off x="1214414" y="1753574"/>
                            <a:ext cx="2000264" cy="649536"/>
                          </a:xfrm>
                          <a:prstGeom prst="rect">
                            <a:avLst/>
                          </a:prstGeom>
                          <a:solidFill>
                            <a:schemeClr val="bg1"/>
                          </a:solidFill>
                          <a:ln cap="sq" cmpd="sng">
                            <a:solidFill>
                              <a:srgbClr val="92D050"/>
                            </a:solidFill>
                          </a:ln>
                          <a:effectLst>
                            <a:glow rad="101600">
                              <a:schemeClr val="accent5">
                                <a:satMod val="175000"/>
                                <a:alpha val="40000"/>
                              </a:schemeClr>
                            </a:glo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9"/>
                          <a:cNvSpPr txBox="1"/>
                        </a:nvSpPr>
                        <a:spPr>
                          <a:xfrm>
                            <a:off x="1452614" y="1785926"/>
                            <a:ext cx="1665868" cy="523220"/>
                          </a:xfrm>
                          <a:prstGeom prst="rect">
                            <a:avLst/>
                          </a:prstGeom>
                          <a:solidFill>
                            <a:schemeClr val="bg1"/>
                          </a:solidFill>
                          <a:ln cap="sq" cmpd="sng">
                            <a:solidFill>
                              <a:schemeClr val="bg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err="1" smtClean="0">
                                  <a:latin typeface="Times New Roman" pitchFamily="18" charset="0"/>
                                  <a:cs typeface="Times New Roman" pitchFamily="18" charset="0"/>
                                </a:rPr>
                                <a:t>FeCl</a:t>
                              </a:r>
                              <a:r>
                                <a:rPr lang="en-US" sz="1400" dirty="0" smtClean="0">
                                  <a:latin typeface="Times New Roman" pitchFamily="18" charset="0"/>
                                  <a:cs typeface="Times New Roman" pitchFamily="18" charset="0"/>
                                </a:rPr>
                                <a:t> </a:t>
                              </a:r>
                              <a:r>
                                <a:rPr lang="en-US" sz="1400" baseline="-25000" dirty="0" smtClean="0">
                                  <a:latin typeface="Times New Roman" pitchFamily="18" charset="0"/>
                                  <a:cs typeface="Times New Roman" pitchFamily="18" charset="0"/>
                                </a:rPr>
                                <a:t>3</a:t>
                              </a:r>
                              <a:r>
                                <a:rPr lang="en-US" sz="1400" dirty="0" smtClean="0">
                                  <a:latin typeface="Times New Roman" pitchFamily="18" charset="0"/>
                                  <a:cs typeface="Times New Roman" pitchFamily="18" charset="0"/>
                                </a:rPr>
                                <a:t> (0.1 M)</a:t>
                              </a:r>
                            </a:p>
                            <a:p>
                              <a:r>
                                <a:rPr lang="en-US" sz="1400" dirty="0">
                                  <a:latin typeface="Times New Roman" pitchFamily="18" charset="0"/>
                                  <a:cs typeface="Times New Roman" pitchFamily="18" charset="0"/>
                                </a:rPr>
                                <a:t> </a:t>
                              </a:r>
                              <a:r>
                                <a:rPr lang="en-US" sz="1400" dirty="0" smtClean="0">
                                  <a:latin typeface="Times New Roman" pitchFamily="18" charset="0"/>
                                  <a:cs typeface="Times New Roman" pitchFamily="18" charset="0"/>
                                </a:rPr>
                                <a:t>  ~ 6.2 ml</a:t>
                              </a:r>
                              <a:endParaRPr lang="en-SG" sz="1400" dirty="0">
                                <a:latin typeface="Times New Roman" pitchFamily="18" charset="0"/>
                                <a:cs typeface="Times New Roman" pitchFamily="18" charset="0"/>
                              </a:endParaRPr>
                            </a:p>
                          </a:txBody>
                          <a:useSpRect/>
                        </a:txSp>
                      </a:sp>
                    </a:grpSp>
                    <a:sp>
                      <a:nvSpPr>
                        <a:cNvPr id="12" name="TextBox 11"/>
                        <a:cNvSpPr txBox="1"/>
                      </a:nvSpPr>
                      <a:spPr>
                        <a:xfrm>
                          <a:off x="3112920" y="2500306"/>
                          <a:ext cx="206338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Stirred continuously</a:t>
                            </a:r>
                            <a:endParaRPr lang="en-SG" dirty="0">
                              <a:latin typeface="Times New Roman" pitchFamily="18" charset="0"/>
                              <a:cs typeface="Times New Roman" pitchFamily="18" charset="0"/>
                            </a:endParaRPr>
                          </a:p>
                        </a:txBody>
                        <a:useSpRect/>
                      </a:txSp>
                    </a:sp>
                    <a:sp>
                      <a:nvSpPr>
                        <a:cNvPr id="13" name="Down Arrow 12"/>
                        <a:cNvSpPr/>
                      </a:nvSpPr>
                      <a:spPr>
                        <a:xfrm flipH="1">
                          <a:off x="4110571" y="3000372"/>
                          <a:ext cx="45719" cy="785818"/>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Content Placeholder 2"/>
                        <a:cNvSpPr txBox="1">
                          <a:spLocks/>
                        </a:cNvSpPr>
                      </a:nvSpPr>
                      <a:spPr>
                        <a:xfrm>
                          <a:off x="1298072" y="3881446"/>
                          <a:ext cx="5435559" cy="762000"/>
                        </a:xfrm>
                        <a:prstGeom prst="rect">
                          <a:avLst/>
                        </a:prstGeom>
                      </a:spPr>
                      <a:txSp>
                        <a:txBody>
                          <a:bodyPr vert="horz" lIns="91440" tIns="45720" rIns="91440" bIns="45720" rtlCol="0">
                            <a:norm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auto" latinLnBrk="0" hangingPunct="1">
                              <a:lnSpc>
                                <a:spcPct val="100000"/>
                              </a:lnSpc>
                              <a:spcBef>
                                <a:spcPct val="20000"/>
                              </a:spcBef>
                              <a:spcAft>
                                <a:spcPts val="0"/>
                              </a:spcAft>
                              <a:buClrTx/>
                              <a:buSzTx/>
                              <a:buFont typeface="Wingdings" pitchFamily="2" charset="2"/>
                              <a:buNone/>
                              <a:tabLst/>
                              <a:defRPr/>
                            </a:pPr>
                            <a:r>
                              <a:rPr kumimoji="0" lang="en-US" b="0" i="0" u="none" strike="noStrike" kern="1200" cap="none" spc="0" normalizeH="0" baseline="0" noProof="0" dirty="0" smtClean="0">
                                <a:ln>
                                  <a:noFill/>
                                </a:ln>
                                <a:effectLst/>
                                <a:uLnTx/>
                                <a:uFillTx/>
                                <a:latin typeface="Times New Roman" pitchFamily="18" charset="0"/>
                                <a:cs typeface="Times New Roman" pitchFamily="18" charset="0"/>
                              </a:rPr>
                              <a:t>Stirred until the solution changed to</a:t>
                            </a:r>
                          </a:p>
                          <a:p>
                            <a:pPr marL="0" marR="0" lvl="0" indent="0" algn="ctr" defTabSz="914400" rtl="0" eaLnBrk="1" fontAlgn="auto" latinLnBrk="0" hangingPunct="1">
                              <a:lnSpc>
                                <a:spcPct val="100000"/>
                              </a:lnSpc>
                              <a:spcBef>
                                <a:spcPct val="20000"/>
                              </a:spcBef>
                              <a:spcAft>
                                <a:spcPts val="0"/>
                              </a:spcAft>
                              <a:buClrTx/>
                              <a:buSzTx/>
                              <a:buFont typeface="Wingdings" pitchFamily="2" charset="2"/>
                              <a:buNone/>
                              <a:tabLst/>
                              <a:defRPr/>
                            </a:pPr>
                            <a:r>
                              <a:rPr kumimoji="0" lang="en-US" b="0" i="0" u="none" strike="noStrike" kern="1200" cap="none" spc="0" normalizeH="0" baseline="0" noProof="0" dirty="0" smtClean="0">
                                <a:ln>
                                  <a:noFill/>
                                </a:ln>
                                <a:effectLst/>
                                <a:uLnTx/>
                                <a:uFillTx/>
                                <a:latin typeface="Times New Roman" pitchFamily="18" charset="0"/>
                                <a:cs typeface="Times New Roman" pitchFamily="18" charset="0"/>
                              </a:rPr>
                              <a:t> pink color and the solution persists for 20 min</a:t>
                            </a:r>
                          </a:p>
                          <a:p>
                            <a:pPr marL="0" marR="0" lvl="0" indent="0" algn="ctr" defTabSz="914400" rtl="0" eaLnBrk="1" fontAlgn="auto" latinLnBrk="0" hangingPunct="1">
                              <a:lnSpc>
                                <a:spcPct val="100000"/>
                              </a:lnSpc>
                              <a:spcBef>
                                <a:spcPct val="20000"/>
                              </a:spcBef>
                              <a:spcAft>
                                <a:spcPts val="0"/>
                              </a:spcAft>
                              <a:buClrTx/>
                              <a:buSzTx/>
                              <a:buFont typeface="Arial" pitchFamily="34" charset="0"/>
                              <a:buNone/>
                              <a:tabLst/>
                              <a:defRPr/>
                            </a:pPr>
                            <a:endParaRPr kumimoji="0" lang="en-US" b="0" i="0" u="none" strike="noStrike" kern="1200" cap="none" spc="0" normalizeH="0" baseline="0" noProof="0" dirty="0" smtClean="0">
                              <a:ln>
                                <a:noFill/>
                              </a:ln>
                              <a:effectLst/>
                              <a:uLnTx/>
                              <a:uFillTx/>
                              <a:latin typeface="Times New Roman" pitchFamily="18" charset="0"/>
                              <a:cs typeface="Times New Roman" pitchFamily="18" charset="0"/>
                            </a:endParaRPr>
                          </a:p>
                        </a:txBody>
                        <a:useSpRect/>
                      </a:txSp>
                    </a:sp>
                    <a:sp>
                      <a:nvSpPr>
                        <a:cNvPr id="15" name="Down Arrow 14"/>
                        <a:cNvSpPr/>
                      </a:nvSpPr>
                      <a:spPr>
                        <a:xfrm flipH="1">
                          <a:off x="4097692" y="4643446"/>
                          <a:ext cx="45719" cy="785818"/>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spLocks noChangeArrowheads="1"/>
                        </a:cNvSpPr>
                      </a:nvSpPr>
                      <a:spPr bwMode="auto">
                        <a:xfrm>
                          <a:off x="712466" y="5573679"/>
                          <a:ext cx="6776270" cy="387799"/>
                        </a:xfrm>
                        <a:prstGeom prst="rect">
                          <a:avLst/>
                        </a:prstGeom>
                        <a:noFill/>
                        <a:ln w="9525">
                          <a:noFill/>
                          <a:miter lim="800000"/>
                          <a:headEnd/>
                          <a:tailEnd/>
                        </a:ln>
                      </a:spPr>
                      <a:txSp>
                        <a:txBody>
                          <a:bodyPr wrap="square" anchor="ct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n-US" dirty="0">
                                <a:latin typeface="Times New Roman" pitchFamily="18" charset="0"/>
                                <a:cs typeface="Times New Roman" pitchFamily="18" charset="0"/>
                              </a:rPr>
                              <a:t>P</a:t>
                            </a:r>
                            <a:r>
                              <a:rPr lang="en-US" baseline="30000" dirty="0">
                                <a:latin typeface="Times New Roman" pitchFamily="18" charset="0"/>
                                <a:cs typeface="Times New Roman" pitchFamily="18" charset="0"/>
                              </a:rPr>
                              <a:t>H</a:t>
                            </a:r>
                            <a:r>
                              <a:rPr lang="en-US" dirty="0">
                                <a:latin typeface="Times New Roman" pitchFamily="18" charset="0"/>
                                <a:cs typeface="Times New Roman" pitchFamily="18" charset="0"/>
                              </a:rPr>
                              <a:t> </a:t>
                            </a:r>
                            <a:r>
                              <a:rPr lang="en-US" dirty="0" smtClean="0">
                                <a:latin typeface="Times New Roman" pitchFamily="18" charset="0"/>
                                <a:cs typeface="Times New Roman" pitchFamily="18" charset="0"/>
                              </a:rPr>
                              <a:t>is adjusted </a:t>
                            </a:r>
                            <a:r>
                              <a:rPr lang="en-US" dirty="0">
                                <a:latin typeface="Times New Roman" pitchFamily="18" charset="0"/>
                                <a:cs typeface="Times New Roman" pitchFamily="18" charset="0"/>
                              </a:rPr>
                              <a:t>to 7~9 to complete precipitation</a:t>
                            </a:r>
                          </a:p>
                        </a:txBody>
                        <a:useSpRect/>
                      </a:txSp>
                    </a:sp>
                    <a:sp>
                      <a:nvSpPr>
                        <a:cNvPr id="17" name="Rectangle 16"/>
                        <a:cNvSpPr/>
                      </a:nvSpPr>
                      <a:spPr>
                        <a:xfrm>
                          <a:off x="4064489" y="3244334"/>
                          <a:ext cx="242374"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 </a:t>
                            </a:r>
                            <a:endParaRPr lang="en-SG" dirty="0"/>
                          </a:p>
                        </a:txBody>
                        <a:useSpRect/>
                      </a:txSp>
                    </a:sp>
                    <a:sp>
                      <a:nvSpPr>
                        <a:cNvPr id="18" name="Rectangle 17"/>
                        <a:cNvSpPr/>
                      </a:nvSpPr>
                      <a:spPr>
                        <a:xfrm>
                          <a:off x="1357290" y="3000372"/>
                          <a:ext cx="1857388" cy="642942"/>
                        </a:xfrm>
                        <a:prstGeom prst="rect">
                          <a:avLst/>
                        </a:prstGeom>
                        <a:solidFill>
                          <a:schemeClr val="bg1"/>
                        </a:solidFill>
                        <a:ln cap="sq" cmpd="sng">
                          <a:solidFill>
                            <a:srgbClr val="92D050"/>
                          </a:solidFill>
                        </a:ln>
                        <a:effectLst>
                          <a:glow rad="101600">
                            <a:schemeClr val="accent5">
                              <a:satMod val="175000"/>
                              <a:alpha val="40000"/>
                            </a:schemeClr>
                          </a:glo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1357290" y="4786322"/>
                          <a:ext cx="1857388" cy="571504"/>
                        </a:xfrm>
                        <a:prstGeom prst="rect">
                          <a:avLst/>
                        </a:prstGeom>
                        <a:solidFill>
                          <a:schemeClr val="bg1"/>
                        </a:solidFill>
                        <a:ln cap="sq" cmpd="sng">
                          <a:solidFill>
                            <a:srgbClr val="92D050"/>
                          </a:solidFill>
                        </a:ln>
                        <a:effectLst>
                          <a:glow rad="101600">
                            <a:schemeClr val="accent5">
                              <a:satMod val="175000"/>
                              <a:alpha val="40000"/>
                            </a:schemeClr>
                          </a:glo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TextBox 26"/>
                        <a:cNvSpPr txBox="1"/>
                      </a:nvSpPr>
                      <a:spPr>
                        <a:xfrm>
                          <a:off x="1510643" y="3154190"/>
                          <a:ext cx="1627897" cy="32316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Times New Roman" pitchFamily="18" charset="0"/>
                                <a:cs typeface="Times New Roman" pitchFamily="18" charset="0"/>
                              </a:rPr>
                              <a:t>KMnO</a:t>
                            </a:r>
                            <a:r>
                              <a:rPr lang="en-US" sz="1400" baseline="-25000" dirty="0" smtClean="0">
                                <a:latin typeface="Times New Roman" pitchFamily="18" charset="0"/>
                                <a:cs typeface="Times New Roman" pitchFamily="18" charset="0"/>
                              </a:rPr>
                              <a:t>4 </a:t>
                            </a:r>
                            <a:r>
                              <a:rPr lang="en-US" sz="1400" dirty="0" smtClean="0">
                                <a:latin typeface="Times New Roman" pitchFamily="18" charset="0"/>
                                <a:cs typeface="Times New Roman" pitchFamily="18" charset="0"/>
                              </a:rPr>
                              <a:t> (0.1 N)</a:t>
                            </a:r>
                            <a:endParaRPr lang="en-SG" sz="1400" dirty="0">
                              <a:latin typeface="Times New Roman" pitchFamily="18" charset="0"/>
                              <a:cs typeface="Times New Roman" pitchFamily="18" charset="0"/>
                            </a:endParaRPr>
                          </a:p>
                        </a:txBody>
                        <a:useSpRect/>
                      </a:txSp>
                    </a:sp>
                    <a:sp>
                      <a:nvSpPr>
                        <a:cNvPr id="21" name="TextBox 27"/>
                        <a:cNvSpPr txBox="1"/>
                      </a:nvSpPr>
                      <a:spPr>
                        <a:xfrm>
                          <a:off x="1673245" y="4907173"/>
                          <a:ext cx="1112805"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err="1" smtClean="0">
                                <a:latin typeface="Times New Roman" pitchFamily="18" charset="0"/>
                                <a:cs typeface="Times New Roman" pitchFamily="18" charset="0"/>
                              </a:rPr>
                              <a:t>NaOH</a:t>
                            </a:r>
                            <a:r>
                              <a:rPr lang="en-US" sz="1400" dirty="0" smtClean="0">
                                <a:latin typeface="Times New Roman" pitchFamily="18" charset="0"/>
                                <a:cs typeface="Times New Roman" pitchFamily="18" charset="0"/>
                              </a:rPr>
                              <a:t> (2 M)</a:t>
                            </a:r>
                            <a:endParaRPr lang="en-SG" sz="1400" dirty="0">
                              <a:latin typeface="Times New Roman" pitchFamily="18" charset="0"/>
                              <a:cs typeface="Times New Roman" pitchFamily="18" charset="0"/>
                            </a:endParaRPr>
                          </a:p>
                        </a:txBody>
                        <a:useSpRect/>
                      </a:txSp>
                    </a:sp>
                    <a:sp>
                      <a:nvSpPr>
                        <a:cNvPr id="22" name="Right Arrow 21"/>
                        <a:cNvSpPr/>
                      </a:nvSpPr>
                      <a:spPr>
                        <a:xfrm>
                          <a:off x="3357554" y="2071678"/>
                          <a:ext cx="642942" cy="45719"/>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ight Arrow 22"/>
                        <a:cNvSpPr/>
                      </a:nvSpPr>
                      <a:spPr>
                        <a:xfrm>
                          <a:off x="3357554" y="5000636"/>
                          <a:ext cx="642942" cy="45719"/>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ight Arrow 23"/>
                        <a:cNvSpPr/>
                      </a:nvSpPr>
                      <a:spPr>
                        <a:xfrm>
                          <a:off x="3357554" y="3357562"/>
                          <a:ext cx="642942" cy="45719"/>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SG"/>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AB73FA" w:rsidRPr="00EE5405" w:rsidRDefault="00AB73FA" w:rsidP="0088796E">
      <w:pPr>
        <w:spacing w:after="60" w:line="360" w:lineRule="auto"/>
        <w:jc w:val="center"/>
        <w:rPr>
          <w:rFonts w:ascii="Times New Roman" w:hAnsi="Times New Roman" w:cs="Times New Roman"/>
          <w:sz w:val="20"/>
          <w:szCs w:val="20"/>
        </w:rPr>
      </w:pPr>
      <w:r w:rsidRPr="00382162">
        <w:rPr>
          <w:rFonts w:ascii="Times New Roman" w:hAnsi="Times New Roman" w:cs="Times New Roman"/>
          <w:b/>
          <w:sz w:val="20"/>
          <w:szCs w:val="20"/>
        </w:rPr>
        <w:t>Fig</w:t>
      </w:r>
      <w:r w:rsidR="00382162" w:rsidRPr="00382162">
        <w:rPr>
          <w:rFonts w:ascii="Times New Roman" w:hAnsi="Times New Roman" w:cs="Times New Roman"/>
          <w:b/>
          <w:sz w:val="20"/>
          <w:szCs w:val="20"/>
        </w:rPr>
        <w:t xml:space="preserve">ure </w:t>
      </w:r>
      <w:r w:rsidR="00CF3A4D">
        <w:rPr>
          <w:rFonts w:ascii="Times New Roman" w:hAnsi="Times New Roman" w:cs="Times New Roman"/>
          <w:b/>
          <w:sz w:val="20"/>
          <w:szCs w:val="20"/>
        </w:rPr>
        <w:t>3</w:t>
      </w:r>
      <w:r w:rsidR="00382162" w:rsidRPr="00382162">
        <w:rPr>
          <w:rFonts w:ascii="Times New Roman" w:hAnsi="Times New Roman" w:cs="Times New Roman"/>
          <w:b/>
          <w:sz w:val="20"/>
          <w:szCs w:val="20"/>
        </w:rPr>
        <w:t>:</w:t>
      </w:r>
      <w:r w:rsidR="00382162">
        <w:rPr>
          <w:rFonts w:ascii="Times New Roman" w:hAnsi="Times New Roman" w:cs="Times New Roman"/>
          <w:sz w:val="20"/>
          <w:szCs w:val="20"/>
        </w:rPr>
        <w:t xml:space="preserve"> l</w:t>
      </w:r>
      <w:r>
        <w:rPr>
          <w:rFonts w:ascii="Times New Roman" w:hAnsi="Times New Roman" w:cs="Times New Roman"/>
          <w:sz w:val="20"/>
          <w:szCs w:val="20"/>
        </w:rPr>
        <w:t>iquid treatment process</w:t>
      </w:r>
    </w:p>
    <w:p w:rsidR="0088796E" w:rsidRDefault="0088796E" w:rsidP="0088796E">
      <w:pPr>
        <w:spacing w:after="60" w:line="360" w:lineRule="auto"/>
        <w:ind w:left="360"/>
        <w:rPr>
          <w:rFonts w:ascii="Times New Roman" w:hAnsi="Times New Roman" w:cs="Times New Roman"/>
          <w:sz w:val="20"/>
          <w:szCs w:val="20"/>
        </w:rPr>
      </w:pPr>
      <w:r w:rsidRPr="0088796E">
        <w:rPr>
          <w:rFonts w:ascii="Times New Roman" w:hAnsi="Times New Roman" w:cs="Times New Roman"/>
          <w:noProof/>
          <w:sz w:val="20"/>
          <w:szCs w:val="20"/>
          <w:lang w:val="en-SG" w:eastAsia="en-SG"/>
        </w:rPr>
        <w:lastRenderedPageBreak/>
        <w:drawing>
          <wp:inline distT="0" distB="0" distL="0" distR="0">
            <wp:extent cx="2515676" cy="232410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519290" cy="2327439"/>
                    </a:xfrm>
                    <a:prstGeom prst="rect">
                      <a:avLst/>
                    </a:prstGeom>
                    <a:noFill/>
                    <a:ln w="9525">
                      <a:noFill/>
                      <a:miter lim="800000"/>
                      <a:headEnd/>
                      <a:tailEnd/>
                    </a:ln>
                  </pic:spPr>
                </pic:pic>
              </a:graphicData>
            </a:graphic>
          </wp:inline>
        </w:drawing>
      </w:r>
      <w:r w:rsidR="00AB73FA" w:rsidRPr="005257C6">
        <w:rPr>
          <w:rFonts w:ascii="Times New Roman" w:hAnsi="Times New Roman" w:cs="Times New Roman"/>
          <w:noProof/>
          <w:sz w:val="20"/>
          <w:szCs w:val="20"/>
          <w:lang w:val="en-SG" w:eastAsia="en-SG"/>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95550" cy="2324100"/>
            <wp:effectExtent l="19050" t="0" r="0" b="0"/>
            <wp:wrapSquare wrapText="bothSides"/>
            <wp:docPr id="8" name="Picture 5"/>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cstate="print"/>
                    <a:srcRect/>
                    <a:stretch>
                      <a:fillRect/>
                    </a:stretch>
                  </pic:blipFill>
                  <pic:spPr bwMode="auto">
                    <a:xfrm>
                      <a:off x="0" y="0"/>
                      <a:ext cx="2495550" cy="2324100"/>
                    </a:xfrm>
                    <a:prstGeom prst="rect">
                      <a:avLst/>
                    </a:prstGeom>
                    <a:noFill/>
                    <a:ln w="9525">
                      <a:noFill/>
                      <a:miter lim="800000"/>
                      <a:headEnd/>
                      <a:tailEnd/>
                    </a:ln>
                    <a:effectLst/>
                  </pic:spPr>
                </pic:pic>
              </a:graphicData>
            </a:graphic>
          </wp:anchor>
        </w:drawing>
      </w:r>
      <w:r>
        <w:rPr>
          <w:rFonts w:ascii="Times New Roman" w:hAnsi="Times New Roman" w:cs="Times New Roman"/>
          <w:sz w:val="20"/>
          <w:szCs w:val="20"/>
        </w:rPr>
        <w:br w:type="textWrapping" w:clear="all"/>
        <w:t xml:space="preserve">       </w:t>
      </w:r>
      <w:r w:rsidR="00AB73FA" w:rsidRPr="0088796E">
        <w:rPr>
          <w:rFonts w:ascii="Times New Roman" w:hAnsi="Times New Roman" w:cs="Times New Roman"/>
          <w:b/>
          <w:sz w:val="20"/>
          <w:szCs w:val="20"/>
        </w:rPr>
        <w:t>Fig</w:t>
      </w:r>
      <w:r w:rsidRPr="0088796E">
        <w:rPr>
          <w:rFonts w:ascii="Times New Roman" w:hAnsi="Times New Roman" w:cs="Times New Roman"/>
          <w:b/>
          <w:sz w:val="20"/>
          <w:szCs w:val="20"/>
        </w:rPr>
        <w:t xml:space="preserve">ure </w:t>
      </w:r>
      <w:r w:rsidR="00CF3A4D">
        <w:rPr>
          <w:rFonts w:ascii="Times New Roman" w:hAnsi="Times New Roman" w:cs="Times New Roman"/>
          <w:b/>
          <w:sz w:val="20"/>
          <w:szCs w:val="20"/>
        </w:rPr>
        <w:t>4</w:t>
      </w:r>
      <w:r w:rsidRPr="0088796E">
        <w:rPr>
          <w:rFonts w:ascii="Times New Roman" w:hAnsi="Times New Roman" w:cs="Times New Roman"/>
          <w:b/>
          <w:sz w:val="20"/>
          <w:szCs w:val="20"/>
        </w:rPr>
        <w:t>:</w:t>
      </w:r>
      <w:r>
        <w:rPr>
          <w:rFonts w:ascii="Times New Roman" w:hAnsi="Times New Roman" w:cs="Times New Roman"/>
          <w:sz w:val="20"/>
          <w:szCs w:val="20"/>
        </w:rPr>
        <w:t xml:space="preserve"> l</w:t>
      </w:r>
      <w:r w:rsidR="00AB73FA">
        <w:rPr>
          <w:rFonts w:ascii="Times New Roman" w:hAnsi="Times New Roman" w:cs="Times New Roman"/>
          <w:sz w:val="20"/>
          <w:szCs w:val="20"/>
        </w:rPr>
        <w:t>iquid waste precipitation</w:t>
      </w:r>
      <w:r>
        <w:rPr>
          <w:rFonts w:ascii="Times New Roman" w:hAnsi="Times New Roman" w:cs="Times New Roman"/>
          <w:sz w:val="20"/>
          <w:szCs w:val="20"/>
        </w:rPr>
        <w:t xml:space="preserve">   </w:t>
      </w:r>
      <w:r w:rsidRPr="0088796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8796E">
        <w:rPr>
          <w:rFonts w:ascii="Times New Roman" w:hAnsi="Times New Roman" w:cs="Times New Roman"/>
          <w:b/>
          <w:sz w:val="20"/>
          <w:szCs w:val="20"/>
        </w:rPr>
        <w:t xml:space="preserve">Figure </w:t>
      </w:r>
      <w:r w:rsidR="00CF3A4D">
        <w:rPr>
          <w:rFonts w:ascii="Times New Roman" w:hAnsi="Times New Roman" w:cs="Times New Roman"/>
          <w:b/>
          <w:sz w:val="20"/>
          <w:szCs w:val="20"/>
        </w:rPr>
        <w:t>5</w:t>
      </w:r>
      <w:r w:rsidRPr="0088796E">
        <w:rPr>
          <w:rFonts w:ascii="Times New Roman" w:hAnsi="Times New Roman" w:cs="Times New Roman"/>
          <w:b/>
          <w:sz w:val="20"/>
          <w:szCs w:val="20"/>
        </w:rPr>
        <w:t>:</w:t>
      </w:r>
      <w:r>
        <w:rPr>
          <w:rFonts w:ascii="Times New Roman" w:hAnsi="Times New Roman" w:cs="Times New Roman"/>
          <w:sz w:val="20"/>
          <w:szCs w:val="20"/>
        </w:rPr>
        <w:t xml:space="preserve"> filtered the precipitant</w:t>
      </w:r>
    </w:p>
    <w:p w:rsidR="00AB73FA" w:rsidRDefault="00AB73FA" w:rsidP="00AB73FA">
      <w:pPr>
        <w:pStyle w:val="ListParagraph"/>
        <w:spacing w:after="60" w:line="360" w:lineRule="auto"/>
        <w:jc w:val="both"/>
        <w:rPr>
          <w:rFonts w:ascii="Times New Roman" w:hAnsi="Times New Roman" w:cs="Times New Roman"/>
          <w:sz w:val="20"/>
          <w:szCs w:val="20"/>
        </w:rPr>
      </w:pPr>
    </w:p>
    <w:p w:rsidR="00AB73FA" w:rsidRDefault="00AB73FA" w:rsidP="00AB73FA">
      <w:pPr>
        <w:spacing w:after="60" w:line="360" w:lineRule="auto"/>
        <w:jc w:val="center"/>
        <w:rPr>
          <w:rFonts w:ascii="Times New Roman" w:hAnsi="Times New Roman" w:cs="Times New Roman"/>
          <w:sz w:val="18"/>
          <w:szCs w:val="18"/>
        </w:rPr>
      </w:pPr>
      <w:r w:rsidRPr="005257C6">
        <w:rPr>
          <w:rFonts w:ascii="Times New Roman" w:hAnsi="Times New Roman" w:cs="Times New Roman"/>
          <w:noProof/>
          <w:sz w:val="18"/>
          <w:szCs w:val="18"/>
          <w:lang w:val="en-SG" w:eastAsia="en-SG"/>
        </w:rPr>
        <w:drawing>
          <wp:inline distT="0" distB="0" distL="0" distR="0">
            <wp:extent cx="2833181" cy="2529016"/>
            <wp:effectExtent l="19050" t="0" r="5269"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29288" cy="4500594"/>
                      <a:chOff x="1714480" y="714356"/>
                      <a:chExt cx="5429288" cy="4500594"/>
                    </a:xfrm>
                  </a:grpSpPr>
                  <a:grpSp>
                    <a:nvGrpSpPr>
                      <a:cNvPr id="4" name="Group 6"/>
                      <a:cNvGrpSpPr/>
                    </a:nvGrpSpPr>
                    <a:grpSpPr>
                      <a:xfrm>
                        <a:off x="1714480" y="714356"/>
                        <a:ext cx="5429288" cy="4500594"/>
                        <a:chOff x="488404" y="214290"/>
                        <a:chExt cx="8298438" cy="6572296"/>
                      </a:xfrm>
                    </a:grpSpPr>
                    <a:pic>
                      <a:nvPicPr>
                        <a:cNvPr id="5" name="Picture 6" descr="C:\Users\User\Desktop\New Folder\IMG_20160804_112137.jpg"/>
                        <a:cNvPicPr>
                          <a:picLocks noChangeAspect="1" noChangeArrowheads="1"/>
                        </a:cNvPicPr>
                      </a:nvPicPr>
                      <a:blipFill>
                        <a:blip r:embed="rId15" cstate="print"/>
                        <a:srcRect/>
                        <a:stretch>
                          <a:fillRect/>
                        </a:stretch>
                      </a:blipFill>
                      <a:spPr bwMode="auto">
                        <a:xfrm>
                          <a:off x="6215074" y="916530"/>
                          <a:ext cx="2571768" cy="3726916"/>
                        </a:xfrm>
                        <a:prstGeom prst="rect">
                          <a:avLst/>
                        </a:prstGeom>
                        <a:noFill/>
                      </a:spPr>
                    </a:pic>
                    <a:pic>
                      <a:nvPicPr>
                        <a:cNvPr id="6" name="Picture 7" descr="C:\Users\User\Desktop\New Folder\IMG_20160802_144701.jpg"/>
                        <a:cNvPicPr>
                          <a:picLocks noChangeAspect="1" noChangeArrowheads="1"/>
                        </a:cNvPicPr>
                      </a:nvPicPr>
                      <a:blipFill>
                        <a:blip r:embed="rId16" cstate="print"/>
                        <a:srcRect/>
                        <a:stretch>
                          <a:fillRect/>
                        </a:stretch>
                      </a:blipFill>
                      <a:spPr bwMode="auto">
                        <a:xfrm>
                          <a:off x="488404" y="1056446"/>
                          <a:ext cx="2940588" cy="3587000"/>
                        </a:xfrm>
                        <a:prstGeom prst="rect">
                          <a:avLst/>
                        </a:prstGeom>
                        <a:noFill/>
                      </a:spPr>
                    </a:pic>
                    <a:pic>
                      <a:nvPicPr>
                        <a:cNvPr id="7" name="Picture 2" descr="C:\Users\User\Desktop\New Folder\IMG_20160804_111941.jpg"/>
                        <a:cNvPicPr>
                          <a:picLocks noChangeAspect="1" noChangeArrowheads="1"/>
                        </a:cNvPicPr>
                      </a:nvPicPr>
                      <a:blipFill>
                        <a:blip r:embed="rId17" cstate="print"/>
                        <a:srcRect/>
                        <a:stretch>
                          <a:fillRect/>
                        </a:stretch>
                      </a:blipFill>
                      <a:spPr bwMode="auto">
                        <a:xfrm>
                          <a:off x="3452855" y="4304322"/>
                          <a:ext cx="2762219" cy="2482264"/>
                        </a:xfrm>
                        <a:prstGeom prst="rect">
                          <a:avLst/>
                        </a:prstGeom>
                        <a:noFill/>
                      </a:spPr>
                    </a:pic>
                    <a:sp>
                      <a:nvSpPr>
                        <a:cNvPr id="8" name="TextBox 7"/>
                        <a:cNvSpPr txBox="1"/>
                      </a:nvSpPr>
                      <a:spPr>
                        <a:xfrm>
                          <a:off x="3000364" y="214290"/>
                          <a:ext cx="293957" cy="60344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SG" sz="2000" b="1" dirty="0">
                              <a:solidFill>
                                <a:srgbClr val="00B050"/>
                              </a:solidFill>
                              <a:latin typeface="Myanmar2" pitchFamily="34" charset="0"/>
                              <a:cs typeface="Myanmar2" pitchFamily="34" charset="0"/>
                            </a:endParaRPr>
                          </a:p>
                        </a:txBody>
                        <a:useSpRect/>
                      </a:txSp>
                    </a:sp>
                  </a:grpSp>
                </lc:lockedCanvas>
              </a:graphicData>
            </a:graphic>
          </wp:inline>
        </w:drawing>
      </w:r>
    </w:p>
    <w:p w:rsidR="00AB73FA" w:rsidRDefault="00AB73FA" w:rsidP="00745C59">
      <w:pPr>
        <w:spacing w:after="60" w:line="360" w:lineRule="auto"/>
        <w:rPr>
          <w:rFonts w:ascii="Times New Roman" w:hAnsi="Times New Roman" w:cs="Times New Roman"/>
          <w:sz w:val="18"/>
          <w:szCs w:val="18"/>
        </w:rPr>
      </w:pPr>
    </w:p>
    <w:p w:rsidR="00AB73FA" w:rsidRPr="00000C0B" w:rsidRDefault="00AB73FA" w:rsidP="00AB73FA">
      <w:pPr>
        <w:spacing w:after="60" w:line="360" w:lineRule="auto"/>
        <w:jc w:val="center"/>
        <w:rPr>
          <w:rFonts w:ascii="Times New Roman" w:hAnsi="Times New Roman" w:cs="Times New Roman"/>
          <w:sz w:val="20"/>
          <w:szCs w:val="20"/>
        </w:rPr>
      </w:pPr>
      <w:r w:rsidRPr="00745C59">
        <w:rPr>
          <w:rFonts w:ascii="Times New Roman" w:hAnsi="Times New Roman" w:cs="Times New Roman"/>
          <w:b/>
          <w:sz w:val="20"/>
          <w:szCs w:val="20"/>
        </w:rPr>
        <w:t>Fig</w:t>
      </w:r>
      <w:r w:rsidR="00745C59" w:rsidRPr="00745C59">
        <w:rPr>
          <w:rFonts w:ascii="Times New Roman" w:hAnsi="Times New Roman" w:cs="Times New Roman"/>
          <w:b/>
          <w:sz w:val="20"/>
          <w:szCs w:val="20"/>
        </w:rPr>
        <w:t xml:space="preserve">ure </w:t>
      </w:r>
      <w:r w:rsidR="00CF3A4D">
        <w:rPr>
          <w:rFonts w:ascii="Times New Roman" w:hAnsi="Times New Roman" w:cs="Times New Roman"/>
          <w:b/>
          <w:sz w:val="20"/>
          <w:szCs w:val="20"/>
        </w:rPr>
        <w:t>6</w:t>
      </w:r>
      <w:r w:rsidR="00745C59" w:rsidRPr="00745C59">
        <w:rPr>
          <w:rFonts w:ascii="Times New Roman" w:hAnsi="Times New Roman" w:cs="Times New Roman"/>
          <w:b/>
          <w:sz w:val="20"/>
          <w:szCs w:val="20"/>
        </w:rPr>
        <w:t>:</w:t>
      </w:r>
      <w:r>
        <w:rPr>
          <w:rFonts w:ascii="Times New Roman" w:hAnsi="Times New Roman" w:cs="Times New Roman"/>
          <w:sz w:val="20"/>
          <w:szCs w:val="20"/>
        </w:rPr>
        <w:t xml:space="preserve"> </w:t>
      </w:r>
      <w:r w:rsidR="00745C59">
        <w:rPr>
          <w:rFonts w:ascii="Times New Roman" w:hAnsi="Times New Roman" w:cs="Times New Roman"/>
          <w:sz w:val="20"/>
          <w:szCs w:val="20"/>
        </w:rPr>
        <w:t>s</w:t>
      </w:r>
      <w:r w:rsidRPr="00000C0B">
        <w:rPr>
          <w:rFonts w:ascii="Times New Roman" w:hAnsi="Times New Roman" w:cs="Times New Roman"/>
          <w:sz w:val="20"/>
          <w:szCs w:val="20"/>
        </w:rPr>
        <w:t>ludge dried in an oven</w:t>
      </w:r>
    </w:p>
    <w:p w:rsidR="00AB73FA" w:rsidRDefault="00AB73FA" w:rsidP="00AB73FA">
      <w:pPr>
        <w:spacing w:after="60" w:line="360" w:lineRule="auto"/>
        <w:jc w:val="center"/>
        <w:rPr>
          <w:rFonts w:ascii="Times New Roman" w:hAnsi="Times New Roman" w:cs="Times New Roman"/>
          <w:sz w:val="18"/>
          <w:szCs w:val="18"/>
        </w:rPr>
      </w:pPr>
    </w:p>
    <w:p w:rsidR="00AB73FA" w:rsidRDefault="00AB73FA" w:rsidP="00AB73FA">
      <w:pPr>
        <w:spacing w:after="60" w:line="360" w:lineRule="auto"/>
        <w:rPr>
          <w:rFonts w:ascii="Times New Roman" w:hAnsi="Times New Roman" w:cs="Times New Roman"/>
          <w:sz w:val="18"/>
          <w:szCs w:val="18"/>
        </w:rPr>
      </w:pPr>
    </w:p>
    <w:p w:rsidR="00AB73FA" w:rsidRDefault="00AB73FA" w:rsidP="00AB73FA">
      <w:pPr>
        <w:spacing w:after="60" w:line="360" w:lineRule="auto"/>
        <w:jc w:val="center"/>
        <w:rPr>
          <w:rFonts w:ascii="Times New Roman" w:hAnsi="Times New Roman" w:cs="Times New Roman"/>
          <w:sz w:val="18"/>
          <w:szCs w:val="18"/>
        </w:rPr>
      </w:pPr>
      <w:r w:rsidRPr="00EB1B2F">
        <w:rPr>
          <w:rFonts w:ascii="Times New Roman" w:hAnsi="Times New Roman" w:cs="Times New Roman"/>
          <w:noProof/>
          <w:sz w:val="18"/>
          <w:szCs w:val="18"/>
          <w:lang w:val="en-SG" w:eastAsia="en-SG"/>
        </w:rPr>
        <w:drawing>
          <wp:inline distT="0" distB="0" distL="0" distR="0">
            <wp:extent cx="1331957" cy="1800225"/>
            <wp:effectExtent l="19050" t="0" r="1543" b="0"/>
            <wp:docPr id="33" name="Picture 33" descr="C:\Users\User\Desktop\New Folder\IMG_20150312_101017.jpg"/>
            <wp:cNvGraphicFramePr/>
            <a:graphic xmlns:a="http://schemas.openxmlformats.org/drawingml/2006/main">
              <a:graphicData uri="http://schemas.openxmlformats.org/drawingml/2006/picture">
                <pic:pic xmlns:pic="http://schemas.openxmlformats.org/drawingml/2006/picture">
                  <pic:nvPicPr>
                    <pic:cNvPr id="14" name="Picture 13" descr="C:\Users\User\Desktop\New Folder\IMG_20150312_101017.jpg"/>
                    <pic:cNvPicPr/>
                  </pic:nvPicPr>
                  <pic:blipFill>
                    <a:blip r:embed="rId18" cstate="print"/>
                    <a:srcRect/>
                    <a:stretch>
                      <a:fillRect/>
                    </a:stretch>
                  </pic:blipFill>
                  <pic:spPr bwMode="auto">
                    <a:xfrm>
                      <a:off x="0" y="0"/>
                      <a:ext cx="1341193" cy="1812708"/>
                    </a:xfrm>
                    <a:prstGeom prst="rect">
                      <a:avLst/>
                    </a:prstGeom>
                    <a:noFill/>
                    <a:ln w="9525">
                      <a:noFill/>
                      <a:miter lim="800000"/>
                      <a:headEnd/>
                      <a:tailEnd/>
                    </a:ln>
                  </pic:spPr>
                </pic:pic>
              </a:graphicData>
            </a:graphic>
          </wp:inline>
        </w:drawing>
      </w:r>
      <w:r w:rsidRPr="00EB1B2F">
        <w:rPr>
          <w:rFonts w:ascii="Times New Roman" w:hAnsi="Times New Roman" w:cs="Times New Roman"/>
          <w:noProof/>
          <w:sz w:val="18"/>
          <w:szCs w:val="18"/>
          <w:lang w:val="en-SG" w:eastAsia="en-SG"/>
        </w:rPr>
        <w:drawing>
          <wp:inline distT="0" distB="0" distL="0" distR="0">
            <wp:extent cx="2095500" cy="1800225"/>
            <wp:effectExtent l="19050" t="0" r="0" b="0"/>
            <wp:docPr id="34" name="Picture 34" descr="C:\Users\User\Desktop\New Folder\IMG_20150312_100653.jpg"/>
            <wp:cNvGraphicFramePr/>
            <a:graphic xmlns:a="http://schemas.openxmlformats.org/drawingml/2006/main">
              <a:graphicData uri="http://schemas.openxmlformats.org/drawingml/2006/picture">
                <pic:pic xmlns:pic="http://schemas.openxmlformats.org/drawingml/2006/picture">
                  <pic:nvPicPr>
                    <pic:cNvPr id="15" name="Picture 14" descr="C:\Users\User\Desktop\New Folder\IMG_20150312_100653.jpg"/>
                    <pic:cNvPicPr/>
                  </pic:nvPicPr>
                  <pic:blipFill>
                    <a:blip r:embed="rId19" cstate="print"/>
                    <a:srcRect/>
                    <a:stretch>
                      <a:fillRect/>
                    </a:stretch>
                  </pic:blipFill>
                  <pic:spPr bwMode="auto">
                    <a:xfrm>
                      <a:off x="0" y="0"/>
                      <a:ext cx="2098466" cy="1802773"/>
                    </a:xfrm>
                    <a:prstGeom prst="rect">
                      <a:avLst/>
                    </a:prstGeom>
                    <a:noFill/>
                    <a:ln w="9525">
                      <a:noFill/>
                      <a:miter lim="800000"/>
                      <a:headEnd/>
                      <a:tailEnd/>
                    </a:ln>
                  </pic:spPr>
                </pic:pic>
              </a:graphicData>
            </a:graphic>
          </wp:inline>
        </w:drawing>
      </w:r>
    </w:p>
    <w:p w:rsidR="00AB73FA" w:rsidRDefault="00AB73FA" w:rsidP="00AB73FA">
      <w:pPr>
        <w:spacing w:after="60" w:line="360" w:lineRule="auto"/>
        <w:jc w:val="center"/>
        <w:rPr>
          <w:rFonts w:ascii="Times New Roman" w:hAnsi="Times New Roman" w:cs="Times New Roman"/>
          <w:sz w:val="18"/>
          <w:szCs w:val="18"/>
        </w:rPr>
      </w:pPr>
    </w:p>
    <w:p w:rsidR="00AB73FA" w:rsidRPr="00637C17" w:rsidRDefault="00AB73FA" w:rsidP="00637C17">
      <w:pPr>
        <w:spacing w:after="60" w:line="360" w:lineRule="auto"/>
        <w:jc w:val="center"/>
        <w:rPr>
          <w:rFonts w:ascii="Times New Roman" w:hAnsi="Times New Roman" w:cs="Times New Roman"/>
          <w:sz w:val="20"/>
          <w:szCs w:val="20"/>
        </w:rPr>
      </w:pPr>
      <w:r w:rsidRPr="00745C59">
        <w:rPr>
          <w:rFonts w:ascii="Times New Roman" w:hAnsi="Times New Roman" w:cs="Times New Roman"/>
          <w:b/>
          <w:sz w:val="20"/>
          <w:szCs w:val="20"/>
        </w:rPr>
        <w:t>Fig</w:t>
      </w:r>
      <w:r w:rsidR="00745C59" w:rsidRPr="00745C59">
        <w:rPr>
          <w:rFonts w:ascii="Times New Roman" w:hAnsi="Times New Roman" w:cs="Times New Roman"/>
          <w:b/>
          <w:sz w:val="20"/>
          <w:szCs w:val="20"/>
        </w:rPr>
        <w:t xml:space="preserve">ure </w:t>
      </w:r>
      <w:r w:rsidR="00CF3A4D">
        <w:rPr>
          <w:rFonts w:ascii="Times New Roman" w:hAnsi="Times New Roman" w:cs="Times New Roman"/>
          <w:b/>
          <w:sz w:val="20"/>
          <w:szCs w:val="20"/>
        </w:rPr>
        <w:t>7</w:t>
      </w:r>
      <w:r w:rsidR="00745C59" w:rsidRPr="00745C59">
        <w:rPr>
          <w:rFonts w:ascii="Times New Roman" w:hAnsi="Times New Roman" w:cs="Times New Roman"/>
          <w:b/>
          <w:sz w:val="20"/>
          <w:szCs w:val="20"/>
        </w:rPr>
        <w:t>:</w:t>
      </w:r>
      <w:r>
        <w:rPr>
          <w:rFonts w:ascii="Times New Roman" w:hAnsi="Times New Roman" w:cs="Times New Roman"/>
          <w:sz w:val="20"/>
          <w:szCs w:val="20"/>
        </w:rPr>
        <w:t xml:space="preserve"> </w:t>
      </w:r>
      <w:r w:rsidR="00745C59">
        <w:rPr>
          <w:rFonts w:ascii="Times New Roman" w:hAnsi="Times New Roman" w:cs="Times New Roman"/>
          <w:sz w:val="20"/>
          <w:szCs w:val="20"/>
        </w:rPr>
        <w:t>sludge stored in c</w:t>
      </w:r>
      <w:r w:rsidRPr="00000C0B">
        <w:rPr>
          <w:rFonts w:ascii="Times New Roman" w:hAnsi="Times New Roman" w:cs="Times New Roman"/>
          <w:sz w:val="20"/>
          <w:szCs w:val="20"/>
        </w:rPr>
        <w:t>ontainer</w:t>
      </w:r>
    </w:p>
    <w:p w:rsidR="00AB73FA" w:rsidRDefault="00AB73FA" w:rsidP="00AB73FA">
      <w:pPr>
        <w:spacing w:after="60" w:line="360" w:lineRule="auto"/>
        <w:jc w:val="center"/>
        <w:rPr>
          <w:rFonts w:ascii="Times New Roman" w:hAnsi="Times New Roman" w:cs="Times New Roman"/>
          <w:sz w:val="18"/>
          <w:szCs w:val="18"/>
        </w:rPr>
      </w:pPr>
      <w:r w:rsidRPr="003B4FD3">
        <w:rPr>
          <w:rFonts w:ascii="Times New Roman" w:hAnsi="Times New Roman" w:cs="Times New Roman"/>
          <w:noProof/>
          <w:sz w:val="18"/>
          <w:szCs w:val="18"/>
          <w:lang w:val="en-SG" w:eastAsia="en-SG"/>
        </w:rPr>
        <w:lastRenderedPageBreak/>
        <w:drawing>
          <wp:inline distT="0" distB="0" distL="0" distR="0">
            <wp:extent cx="2071703" cy="2011165"/>
            <wp:effectExtent l="19050" t="0" r="4747" b="0"/>
            <wp:docPr id="35" name="Picture 35"/>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0" cstate="print"/>
                    <a:srcRect/>
                    <a:stretch>
                      <a:fillRect/>
                    </a:stretch>
                  </pic:blipFill>
                  <pic:spPr bwMode="auto">
                    <a:xfrm>
                      <a:off x="0" y="0"/>
                      <a:ext cx="2071703" cy="2011165"/>
                    </a:xfrm>
                    <a:prstGeom prst="rect">
                      <a:avLst/>
                    </a:prstGeom>
                    <a:noFill/>
                    <a:ln w="9525">
                      <a:noFill/>
                      <a:miter lim="800000"/>
                      <a:headEnd/>
                      <a:tailEnd/>
                    </a:ln>
                    <a:effectLst/>
                  </pic:spPr>
                </pic:pic>
              </a:graphicData>
            </a:graphic>
          </wp:inline>
        </w:drawing>
      </w:r>
      <w:r w:rsidRPr="003B4FD3">
        <w:rPr>
          <w:rFonts w:ascii="Times New Roman" w:hAnsi="Times New Roman" w:cs="Times New Roman"/>
          <w:noProof/>
          <w:sz w:val="18"/>
          <w:szCs w:val="18"/>
          <w:lang w:val="en-SG" w:eastAsia="en-SG"/>
        </w:rPr>
        <w:drawing>
          <wp:inline distT="0" distB="0" distL="0" distR="0">
            <wp:extent cx="894158" cy="2000264"/>
            <wp:effectExtent l="19050" t="0" r="1192" b="0"/>
            <wp:docPr id="36" name="Picture 36"/>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cstate="print"/>
                    <a:srcRect l="56829" t="12717" r="5747"/>
                    <a:stretch>
                      <a:fillRect/>
                    </a:stretch>
                  </pic:blipFill>
                  <pic:spPr bwMode="auto">
                    <a:xfrm>
                      <a:off x="0" y="0"/>
                      <a:ext cx="894158" cy="2000264"/>
                    </a:xfrm>
                    <a:prstGeom prst="rect">
                      <a:avLst/>
                    </a:prstGeom>
                    <a:noFill/>
                    <a:ln w="9525">
                      <a:noFill/>
                      <a:miter lim="800000"/>
                      <a:headEnd/>
                      <a:tailEnd/>
                    </a:ln>
                    <a:effectLst/>
                  </pic:spPr>
                </pic:pic>
              </a:graphicData>
            </a:graphic>
          </wp:inline>
        </w:drawing>
      </w:r>
    </w:p>
    <w:p w:rsidR="00AB73FA" w:rsidRDefault="00AB73FA" w:rsidP="00AB73FA">
      <w:pPr>
        <w:spacing w:after="60" w:line="360" w:lineRule="auto"/>
        <w:jc w:val="center"/>
        <w:rPr>
          <w:rFonts w:ascii="Times New Roman" w:hAnsi="Times New Roman" w:cs="Times New Roman"/>
          <w:sz w:val="18"/>
          <w:szCs w:val="18"/>
        </w:rPr>
      </w:pPr>
    </w:p>
    <w:p w:rsidR="00AB73FA" w:rsidRPr="00000C0B" w:rsidRDefault="00AB73FA" w:rsidP="00AB73FA">
      <w:pPr>
        <w:spacing w:after="60" w:line="360" w:lineRule="auto"/>
        <w:jc w:val="center"/>
        <w:rPr>
          <w:rFonts w:ascii="Times New Roman" w:hAnsi="Times New Roman" w:cs="Times New Roman"/>
          <w:sz w:val="20"/>
          <w:szCs w:val="20"/>
        </w:rPr>
      </w:pPr>
      <w:r w:rsidRPr="00745C59">
        <w:rPr>
          <w:rFonts w:ascii="Times New Roman" w:hAnsi="Times New Roman" w:cs="Times New Roman"/>
          <w:b/>
          <w:sz w:val="20"/>
          <w:szCs w:val="20"/>
        </w:rPr>
        <w:t>Fig</w:t>
      </w:r>
      <w:r w:rsidR="00745C59" w:rsidRPr="00745C59">
        <w:rPr>
          <w:rFonts w:ascii="Times New Roman" w:hAnsi="Times New Roman" w:cs="Times New Roman"/>
          <w:b/>
          <w:sz w:val="20"/>
          <w:szCs w:val="20"/>
        </w:rPr>
        <w:t xml:space="preserve">ure </w:t>
      </w:r>
      <w:r w:rsidR="00CF3A4D">
        <w:rPr>
          <w:rFonts w:ascii="Times New Roman" w:hAnsi="Times New Roman" w:cs="Times New Roman"/>
          <w:b/>
          <w:sz w:val="20"/>
          <w:szCs w:val="20"/>
        </w:rPr>
        <w:t>8</w:t>
      </w:r>
      <w:r w:rsidR="00745C59" w:rsidRPr="00745C59">
        <w:rPr>
          <w:rFonts w:ascii="Times New Roman" w:hAnsi="Times New Roman" w:cs="Times New Roman"/>
          <w:b/>
          <w:sz w:val="20"/>
          <w:szCs w:val="20"/>
        </w:rPr>
        <w:t>:</w:t>
      </w:r>
      <w:r w:rsidR="00745C59">
        <w:rPr>
          <w:rFonts w:ascii="Times New Roman" w:hAnsi="Times New Roman" w:cs="Times New Roman"/>
          <w:sz w:val="20"/>
          <w:szCs w:val="20"/>
        </w:rPr>
        <w:t xml:space="preserve"> a</w:t>
      </w:r>
      <w:r>
        <w:rPr>
          <w:rFonts w:ascii="Times New Roman" w:hAnsi="Times New Roman" w:cs="Times New Roman"/>
          <w:sz w:val="20"/>
          <w:szCs w:val="20"/>
        </w:rPr>
        <w:t>ctivated carbon and</w:t>
      </w:r>
      <w:r w:rsidRPr="00000C0B">
        <w:rPr>
          <w:rFonts w:ascii="Times New Roman" w:hAnsi="Times New Roman" w:cs="Times New Roman"/>
          <w:sz w:val="20"/>
          <w:szCs w:val="20"/>
        </w:rPr>
        <w:t xml:space="preserve"> activated carbon column </w:t>
      </w:r>
    </w:p>
    <w:p w:rsidR="00DA36FB" w:rsidRDefault="00DA36FB" w:rsidP="00DA36FB">
      <w:pPr>
        <w:spacing w:after="60"/>
        <w:contextualSpacing/>
        <w:rPr>
          <w:rFonts w:ascii="Times New Roman" w:hAnsi="Times New Roman" w:cs="Times New Roman"/>
          <w:sz w:val="20"/>
          <w:szCs w:val="20"/>
        </w:rPr>
      </w:pPr>
    </w:p>
    <w:p w:rsidR="00DA36FB" w:rsidRDefault="00DA36FB" w:rsidP="00DA36FB">
      <w:pPr>
        <w:spacing w:after="60"/>
        <w:contextualSpacing/>
        <w:rPr>
          <w:rFonts w:ascii="Times New Roman" w:hAnsi="Times New Roman" w:cs="Times New Roman"/>
          <w:sz w:val="20"/>
          <w:szCs w:val="20"/>
        </w:rPr>
      </w:pPr>
    </w:p>
    <w:p w:rsidR="00DA36FB" w:rsidRPr="00D6106E" w:rsidRDefault="00DA36FB" w:rsidP="00D6106E">
      <w:pPr>
        <w:spacing w:after="60" w:line="360" w:lineRule="auto"/>
        <w:contextualSpacing/>
        <w:rPr>
          <w:rFonts w:ascii="Times New Roman" w:hAnsi="Times New Roman" w:cs="Times New Roman"/>
          <w:b/>
          <w:sz w:val="20"/>
          <w:szCs w:val="20"/>
        </w:rPr>
      </w:pPr>
      <w:r w:rsidRPr="00D6106E">
        <w:rPr>
          <w:rFonts w:ascii="Times New Roman" w:hAnsi="Times New Roman" w:cs="Times New Roman"/>
          <w:b/>
          <w:sz w:val="20"/>
          <w:szCs w:val="20"/>
        </w:rPr>
        <w:t>3. Results and discussion</w:t>
      </w:r>
    </w:p>
    <w:p w:rsidR="00DA36FB" w:rsidRPr="00D6106E" w:rsidRDefault="00DA36FB" w:rsidP="00D6106E">
      <w:pPr>
        <w:spacing w:after="60" w:line="360" w:lineRule="auto"/>
        <w:jc w:val="both"/>
        <w:rPr>
          <w:rFonts w:ascii="Times New Roman" w:hAnsi="Times New Roman" w:cs="Times New Roman"/>
          <w:sz w:val="20"/>
          <w:szCs w:val="20"/>
        </w:rPr>
      </w:pPr>
    </w:p>
    <w:p w:rsidR="00DA36FB" w:rsidRDefault="00DA36FB" w:rsidP="007B0912">
      <w:pPr>
        <w:spacing w:after="60" w:line="360" w:lineRule="auto"/>
        <w:jc w:val="both"/>
        <w:rPr>
          <w:rFonts w:ascii="Times New Roman" w:hAnsi="Times New Roman" w:cs="Times New Roman"/>
          <w:sz w:val="20"/>
          <w:szCs w:val="20"/>
        </w:rPr>
      </w:pPr>
      <w:r w:rsidRPr="00D6106E">
        <w:rPr>
          <w:rFonts w:ascii="Times New Roman" w:hAnsi="Times New Roman" w:cs="Times New Roman"/>
          <w:sz w:val="20"/>
          <w:szCs w:val="20"/>
        </w:rPr>
        <w:t>Wastes from the processing of radioactive ores are potential sources of radiological impact, if wastes are dispersed in the environment. Therefore liquid waste from rare earth processing was collected and managed to become decontaminated water and disposed to the environment if it is in safer to public.  Treatment of liquid waste from rare earth processing was carried out at waste management laboratory. Waste treatment techniques are used to change the physical, chemical or biological character of the waste to reduce its volume and or toxicity and to make safer for disposal. Analytical result of sludge from the precipitation was analyzed by X- ray Fluorescence Spectrometer (XRF). After many experiments have been done, the following composition of elements in sludge (waste) result obtained, analyzed by X- ray Fluorescence Spectrometer (XRF). Analytical result of sludge contained radioactive materials such as thorium, uranium and other rare e</w:t>
      </w:r>
      <w:r w:rsidR="00AB4BC6">
        <w:rPr>
          <w:rFonts w:ascii="Times New Roman" w:hAnsi="Times New Roman" w:cs="Times New Roman"/>
          <w:sz w:val="20"/>
          <w:szCs w:val="20"/>
        </w:rPr>
        <w:t>arth elements, shown in T</w:t>
      </w:r>
      <w:r w:rsidR="00CF3A4D">
        <w:rPr>
          <w:rFonts w:ascii="Times New Roman" w:hAnsi="Times New Roman" w:cs="Times New Roman"/>
          <w:sz w:val="20"/>
          <w:szCs w:val="20"/>
        </w:rPr>
        <w:t>able 2</w:t>
      </w:r>
      <w:r w:rsidRPr="00D6106E">
        <w:rPr>
          <w:rFonts w:ascii="Times New Roman" w:hAnsi="Times New Roman" w:cs="Times New Roman"/>
          <w:sz w:val="20"/>
          <w:szCs w:val="20"/>
        </w:rPr>
        <w:t>. According to the result, the sludge needed to store in the storage tank for safety and can be recycled for other purposes.</w:t>
      </w:r>
      <w:r w:rsidR="002755EA">
        <w:rPr>
          <w:rFonts w:ascii="Times New Roman" w:hAnsi="Times New Roman" w:cs="Times New Roman"/>
          <w:sz w:val="20"/>
          <w:szCs w:val="20"/>
        </w:rPr>
        <w:t xml:space="preserve"> A</w:t>
      </w:r>
      <w:r w:rsidR="00AB4BC6">
        <w:rPr>
          <w:rFonts w:ascii="Times New Roman" w:hAnsi="Times New Roman" w:cs="Times New Roman"/>
          <w:sz w:val="20"/>
          <w:szCs w:val="20"/>
        </w:rPr>
        <w:t>nalytical results of liquid waste before treatment and after treatmen</w:t>
      </w:r>
      <w:r w:rsidR="00686F3B">
        <w:rPr>
          <w:rFonts w:ascii="Times New Roman" w:hAnsi="Times New Roman" w:cs="Times New Roman"/>
          <w:sz w:val="20"/>
          <w:szCs w:val="20"/>
        </w:rPr>
        <w:t xml:space="preserve">t </w:t>
      </w:r>
      <w:r w:rsidR="002755EA">
        <w:rPr>
          <w:rFonts w:ascii="Times New Roman" w:hAnsi="Times New Roman" w:cs="Times New Roman"/>
          <w:sz w:val="20"/>
          <w:szCs w:val="20"/>
        </w:rPr>
        <w:t>was shown in Table 3.</w:t>
      </w:r>
    </w:p>
    <w:p w:rsidR="00637C17" w:rsidRPr="00D6106E" w:rsidRDefault="00637C17" w:rsidP="007B0912">
      <w:pPr>
        <w:spacing w:after="60" w:line="360" w:lineRule="auto"/>
        <w:jc w:val="both"/>
        <w:rPr>
          <w:rFonts w:ascii="Times New Roman" w:hAnsi="Times New Roman" w:cs="Times New Roman"/>
          <w:sz w:val="20"/>
          <w:szCs w:val="20"/>
        </w:rPr>
      </w:pPr>
    </w:p>
    <w:p w:rsidR="007B0912" w:rsidRDefault="007B0912" w:rsidP="007B0912">
      <w:pPr>
        <w:spacing w:after="60" w:line="360" w:lineRule="auto"/>
        <w:jc w:val="center"/>
        <w:rPr>
          <w:rFonts w:ascii="Times New Roman" w:hAnsi="Times New Roman" w:cs="Times New Roman"/>
          <w:sz w:val="20"/>
          <w:szCs w:val="20"/>
        </w:rPr>
      </w:pPr>
      <w:r w:rsidRPr="00A87CFE">
        <w:rPr>
          <w:rFonts w:ascii="Times New Roman" w:hAnsi="Times New Roman" w:cs="Times New Roman"/>
          <w:b/>
          <w:sz w:val="20"/>
          <w:szCs w:val="20"/>
        </w:rPr>
        <w:t>Table 2:</w:t>
      </w:r>
      <w:r>
        <w:rPr>
          <w:rFonts w:ascii="Times New Roman" w:hAnsi="Times New Roman" w:cs="Times New Roman"/>
          <w:sz w:val="20"/>
          <w:szCs w:val="20"/>
        </w:rPr>
        <w:t xml:space="preserve"> </w:t>
      </w:r>
      <w:r w:rsidRPr="00D6106E">
        <w:rPr>
          <w:rFonts w:ascii="Times New Roman" w:hAnsi="Times New Roman" w:cs="Times New Roman"/>
          <w:sz w:val="20"/>
          <w:szCs w:val="20"/>
        </w:rPr>
        <w:t>Analytical results of sludge from liquid waste treatment</w:t>
      </w:r>
    </w:p>
    <w:p w:rsidR="007B0912" w:rsidRDefault="007B0912" w:rsidP="007B0912">
      <w:pPr>
        <w:spacing w:after="60" w:line="360" w:lineRule="auto"/>
        <w:jc w:val="center"/>
        <w:rPr>
          <w:rFonts w:ascii="Times New Roman" w:hAnsi="Times New Roman" w:cs="Times New Roman"/>
          <w:sz w:val="20"/>
          <w:szCs w:val="20"/>
        </w:rPr>
      </w:pP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660"/>
        <w:gridCol w:w="1559"/>
        <w:gridCol w:w="1701"/>
        <w:gridCol w:w="1701"/>
        <w:gridCol w:w="1621"/>
      </w:tblGrid>
      <w:tr w:rsidR="007B0912" w:rsidTr="007B0912">
        <w:trPr>
          <w:jc w:val="center"/>
        </w:trPr>
        <w:tc>
          <w:tcPr>
            <w:tcW w:w="2660"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Rare earth oxide processing</w:t>
            </w:r>
          </w:p>
        </w:tc>
        <w:tc>
          <w:tcPr>
            <w:tcW w:w="1559"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Thorium</w:t>
            </w:r>
          </w:p>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Uranium</w:t>
            </w:r>
          </w:p>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Sodium</w:t>
            </w:r>
          </w:p>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62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Rare earths and other elements</w:t>
            </w:r>
          </w:p>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7B0912" w:rsidTr="007B0912">
        <w:trPr>
          <w:jc w:val="center"/>
        </w:trPr>
        <w:tc>
          <w:tcPr>
            <w:tcW w:w="2660"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sludge of liquid waste  from digestion process</w:t>
            </w:r>
          </w:p>
        </w:tc>
        <w:tc>
          <w:tcPr>
            <w:tcW w:w="1559"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1 %</w:t>
            </w:r>
          </w:p>
        </w:tc>
        <w:tc>
          <w:tcPr>
            <w:tcW w:w="170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0.5%</w:t>
            </w:r>
          </w:p>
        </w:tc>
        <w:tc>
          <w:tcPr>
            <w:tcW w:w="170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50%</w:t>
            </w:r>
          </w:p>
        </w:tc>
        <w:tc>
          <w:tcPr>
            <w:tcW w:w="162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48.5%</w:t>
            </w:r>
          </w:p>
        </w:tc>
      </w:tr>
      <w:tr w:rsidR="007B0912" w:rsidTr="007B0912">
        <w:trPr>
          <w:jc w:val="center"/>
        </w:trPr>
        <w:tc>
          <w:tcPr>
            <w:tcW w:w="2660"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Sludge of liquid waste  from   rare earth hydroxide process</w:t>
            </w:r>
          </w:p>
        </w:tc>
        <w:tc>
          <w:tcPr>
            <w:tcW w:w="1559"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1 %</w:t>
            </w:r>
          </w:p>
        </w:tc>
        <w:tc>
          <w:tcPr>
            <w:tcW w:w="170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0.5 %</w:t>
            </w:r>
          </w:p>
        </w:tc>
        <w:tc>
          <w:tcPr>
            <w:tcW w:w="170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55%</w:t>
            </w:r>
          </w:p>
        </w:tc>
        <w:tc>
          <w:tcPr>
            <w:tcW w:w="162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43.5 %</w:t>
            </w:r>
          </w:p>
        </w:tc>
      </w:tr>
      <w:tr w:rsidR="007B0912" w:rsidTr="007B0912">
        <w:trPr>
          <w:jc w:val="center"/>
        </w:trPr>
        <w:tc>
          <w:tcPr>
            <w:tcW w:w="2660"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Sludge of liquid waste  from rare earth oxalate process</w:t>
            </w:r>
          </w:p>
        </w:tc>
        <w:tc>
          <w:tcPr>
            <w:tcW w:w="1559"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0.5%</w:t>
            </w:r>
          </w:p>
        </w:tc>
        <w:tc>
          <w:tcPr>
            <w:tcW w:w="170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0.5%</w:t>
            </w:r>
          </w:p>
        </w:tc>
        <w:tc>
          <w:tcPr>
            <w:tcW w:w="170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55%</w:t>
            </w:r>
          </w:p>
        </w:tc>
        <w:tc>
          <w:tcPr>
            <w:tcW w:w="1621" w:type="dxa"/>
            <w:vAlign w:val="center"/>
          </w:tcPr>
          <w:p w:rsidR="007B0912" w:rsidRDefault="007B0912" w:rsidP="007B0912">
            <w:pPr>
              <w:spacing w:line="360" w:lineRule="auto"/>
              <w:jc w:val="center"/>
              <w:rPr>
                <w:rFonts w:ascii="Times New Roman" w:hAnsi="Times New Roman" w:cs="Times New Roman"/>
                <w:sz w:val="20"/>
                <w:szCs w:val="20"/>
              </w:rPr>
            </w:pPr>
            <w:r>
              <w:rPr>
                <w:rFonts w:ascii="Times New Roman" w:hAnsi="Times New Roman" w:cs="Times New Roman"/>
                <w:sz w:val="20"/>
                <w:szCs w:val="20"/>
              </w:rPr>
              <w:t>&lt;  44%</w:t>
            </w:r>
          </w:p>
        </w:tc>
      </w:tr>
    </w:tbl>
    <w:p w:rsidR="00637C17" w:rsidRDefault="00637C17" w:rsidP="00261DA3">
      <w:pPr>
        <w:spacing w:line="360" w:lineRule="auto"/>
        <w:jc w:val="center"/>
        <w:rPr>
          <w:rFonts w:ascii="Times New Roman" w:hAnsi="Times New Roman" w:cs="Times New Roman"/>
          <w:b/>
          <w:sz w:val="20"/>
          <w:szCs w:val="20"/>
        </w:rPr>
      </w:pPr>
    </w:p>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b/>
          <w:sz w:val="20"/>
          <w:szCs w:val="20"/>
        </w:rPr>
        <w:lastRenderedPageBreak/>
        <w:t>Table 3</w:t>
      </w:r>
      <w:r w:rsidRPr="00A87CFE">
        <w:rPr>
          <w:rFonts w:ascii="Times New Roman" w:hAnsi="Times New Roman" w:cs="Times New Roman"/>
          <w:b/>
          <w:sz w:val="20"/>
          <w:szCs w:val="20"/>
        </w:rPr>
        <w:t>:</w:t>
      </w:r>
      <w:r>
        <w:rPr>
          <w:rFonts w:ascii="Times New Roman" w:hAnsi="Times New Roman" w:cs="Times New Roman"/>
          <w:sz w:val="20"/>
          <w:szCs w:val="20"/>
        </w:rPr>
        <w:t xml:space="preserve"> Analytical results of liquid waste before treatment and after treatment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660"/>
        <w:gridCol w:w="1559"/>
        <w:gridCol w:w="1701"/>
        <w:gridCol w:w="1701"/>
        <w:gridCol w:w="1621"/>
      </w:tblGrid>
      <w:tr w:rsidR="00261DA3" w:rsidTr="00531A6F">
        <w:tc>
          <w:tcPr>
            <w:tcW w:w="2660" w:type="dxa"/>
            <w:vMerge w:val="restart"/>
            <w:tcBorders>
              <w:bottom w:val="single" w:sz="4" w:space="0" w:color="auto"/>
            </w:tcBorders>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Liquid wastes from rare earth oxide processing</w:t>
            </w:r>
          </w:p>
        </w:tc>
        <w:tc>
          <w:tcPr>
            <w:tcW w:w="3260" w:type="dxa"/>
            <w:gridSpan w:val="2"/>
            <w:tcBorders>
              <w:bottom w:val="single" w:sz="4" w:space="0" w:color="auto"/>
            </w:tcBorders>
            <w:vAlign w:val="center"/>
          </w:tcPr>
          <w:p w:rsidR="00261DA3" w:rsidRDefault="00453726"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Before t</w:t>
            </w:r>
            <w:r w:rsidR="00261DA3">
              <w:rPr>
                <w:rFonts w:ascii="Times New Roman" w:hAnsi="Times New Roman" w:cs="Times New Roman"/>
                <w:sz w:val="20"/>
                <w:szCs w:val="20"/>
              </w:rPr>
              <w:t>reatment</w:t>
            </w:r>
          </w:p>
          <w:p w:rsidR="00261DA3" w:rsidRDefault="00453726"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w:t>
            </w:r>
            <w:r w:rsidR="00261DA3">
              <w:rPr>
                <w:rFonts w:ascii="Times New Roman" w:hAnsi="Times New Roman" w:cs="Times New Roman"/>
                <w:sz w:val="20"/>
                <w:szCs w:val="20"/>
              </w:rPr>
              <w:t>ow level liquid waste)</w:t>
            </w:r>
          </w:p>
        </w:tc>
        <w:tc>
          <w:tcPr>
            <w:tcW w:w="3322" w:type="dxa"/>
            <w:gridSpan w:val="2"/>
            <w:tcBorders>
              <w:bottom w:val="single" w:sz="4" w:space="0" w:color="auto"/>
            </w:tcBorders>
            <w:vAlign w:val="center"/>
          </w:tcPr>
          <w:p w:rsidR="00261DA3" w:rsidRDefault="00453726"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After t</w:t>
            </w:r>
            <w:r w:rsidR="00261DA3">
              <w:rPr>
                <w:rFonts w:ascii="Times New Roman" w:hAnsi="Times New Roman" w:cs="Times New Roman"/>
                <w:sz w:val="20"/>
                <w:szCs w:val="20"/>
              </w:rPr>
              <w:t>reatment</w:t>
            </w:r>
          </w:p>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 exempt waste)</w:t>
            </w:r>
          </w:p>
        </w:tc>
      </w:tr>
      <w:tr w:rsidR="00261DA3" w:rsidTr="00531A6F">
        <w:tc>
          <w:tcPr>
            <w:tcW w:w="2660" w:type="dxa"/>
            <w:vMerge/>
            <w:tcBorders>
              <w:top w:val="single" w:sz="4" w:space="0" w:color="auto"/>
            </w:tcBorders>
            <w:vAlign w:val="center"/>
          </w:tcPr>
          <w:p w:rsidR="00261DA3" w:rsidRDefault="00261DA3" w:rsidP="00261DA3">
            <w:pPr>
              <w:spacing w:line="360" w:lineRule="auto"/>
              <w:jc w:val="center"/>
              <w:rPr>
                <w:rFonts w:ascii="Times New Roman" w:hAnsi="Times New Roman" w:cs="Times New Roman"/>
                <w:sz w:val="20"/>
                <w:szCs w:val="20"/>
              </w:rPr>
            </w:pPr>
          </w:p>
        </w:tc>
        <w:tc>
          <w:tcPr>
            <w:tcW w:w="1559" w:type="dxa"/>
            <w:tcBorders>
              <w:top w:val="single" w:sz="4" w:space="0" w:color="auto"/>
            </w:tcBorders>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Thorium</w:t>
            </w:r>
          </w:p>
          <w:p w:rsidR="00261DA3" w:rsidRDefault="00261DA3" w:rsidP="00261DA3">
            <w:pPr>
              <w:spacing w:line="360" w:lineRule="auto"/>
              <w:jc w:val="center"/>
              <w:rPr>
                <w:rFonts w:ascii="Times New Roman" w:hAnsi="Times New Roman" w:cs="Times New Roman"/>
                <w:sz w:val="20"/>
                <w:szCs w:val="20"/>
              </w:rPr>
            </w:pPr>
          </w:p>
        </w:tc>
        <w:tc>
          <w:tcPr>
            <w:tcW w:w="1701" w:type="dxa"/>
            <w:tcBorders>
              <w:top w:val="single" w:sz="4" w:space="0" w:color="auto"/>
            </w:tcBorders>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Uranium</w:t>
            </w:r>
          </w:p>
          <w:p w:rsidR="00261DA3" w:rsidRDefault="00261DA3" w:rsidP="00261DA3">
            <w:pPr>
              <w:spacing w:line="360" w:lineRule="auto"/>
              <w:jc w:val="center"/>
              <w:rPr>
                <w:rFonts w:ascii="Times New Roman" w:hAnsi="Times New Roman" w:cs="Times New Roman"/>
                <w:sz w:val="20"/>
                <w:szCs w:val="20"/>
              </w:rPr>
            </w:pPr>
          </w:p>
        </w:tc>
        <w:tc>
          <w:tcPr>
            <w:tcW w:w="1701" w:type="dxa"/>
            <w:tcBorders>
              <w:top w:val="single" w:sz="4" w:space="0" w:color="auto"/>
            </w:tcBorders>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Thorium</w:t>
            </w:r>
          </w:p>
          <w:p w:rsidR="00261DA3" w:rsidRDefault="00261DA3" w:rsidP="00261DA3">
            <w:pPr>
              <w:spacing w:line="360" w:lineRule="auto"/>
              <w:jc w:val="center"/>
              <w:rPr>
                <w:rFonts w:ascii="Times New Roman" w:hAnsi="Times New Roman" w:cs="Times New Roman"/>
                <w:sz w:val="20"/>
                <w:szCs w:val="20"/>
              </w:rPr>
            </w:pPr>
          </w:p>
        </w:tc>
        <w:tc>
          <w:tcPr>
            <w:tcW w:w="1621" w:type="dxa"/>
            <w:tcBorders>
              <w:top w:val="single" w:sz="4" w:space="0" w:color="auto"/>
            </w:tcBorders>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Uranium</w:t>
            </w:r>
          </w:p>
          <w:p w:rsidR="00261DA3" w:rsidRDefault="00261DA3" w:rsidP="00261DA3">
            <w:pPr>
              <w:spacing w:line="360" w:lineRule="auto"/>
              <w:jc w:val="center"/>
              <w:rPr>
                <w:rFonts w:ascii="Times New Roman" w:hAnsi="Times New Roman" w:cs="Times New Roman"/>
                <w:sz w:val="20"/>
                <w:szCs w:val="20"/>
              </w:rPr>
            </w:pPr>
          </w:p>
        </w:tc>
      </w:tr>
      <w:tr w:rsidR="00261DA3" w:rsidTr="00261DA3">
        <w:tc>
          <w:tcPr>
            <w:tcW w:w="2660"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liquid waste  from digestion process</w:t>
            </w:r>
          </w:p>
        </w:tc>
        <w:tc>
          <w:tcPr>
            <w:tcW w:w="1559"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2000 ppm</w:t>
            </w:r>
          </w:p>
        </w:tc>
        <w:tc>
          <w:tcPr>
            <w:tcW w:w="1701" w:type="dxa"/>
            <w:vAlign w:val="center"/>
          </w:tcPr>
          <w:p w:rsidR="00261DA3" w:rsidRDefault="00AE3FA6"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3</w:t>
            </w:r>
            <w:r w:rsidR="00261DA3">
              <w:rPr>
                <w:rFonts w:ascii="Times New Roman" w:hAnsi="Times New Roman" w:cs="Times New Roman"/>
                <w:sz w:val="20"/>
                <w:szCs w:val="20"/>
              </w:rPr>
              <w:t>00 ppm</w:t>
            </w:r>
          </w:p>
        </w:tc>
        <w:tc>
          <w:tcPr>
            <w:tcW w:w="1701"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10 ppm</w:t>
            </w:r>
          </w:p>
        </w:tc>
        <w:tc>
          <w:tcPr>
            <w:tcW w:w="1621"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1 ppm</w:t>
            </w:r>
          </w:p>
        </w:tc>
      </w:tr>
      <w:tr w:rsidR="00261DA3" w:rsidTr="00261DA3">
        <w:tc>
          <w:tcPr>
            <w:tcW w:w="2660"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liquid waste  from   rare earth hydroxide process</w:t>
            </w:r>
          </w:p>
        </w:tc>
        <w:tc>
          <w:tcPr>
            <w:tcW w:w="1559"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2000 ppm</w:t>
            </w:r>
          </w:p>
        </w:tc>
        <w:tc>
          <w:tcPr>
            <w:tcW w:w="1701" w:type="dxa"/>
            <w:vAlign w:val="center"/>
          </w:tcPr>
          <w:p w:rsidR="00261DA3" w:rsidRDefault="00AE3FA6"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3</w:t>
            </w:r>
            <w:r w:rsidR="00261DA3">
              <w:rPr>
                <w:rFonts w:ascii="Times New Roman" w:hAnsi="Times New Roman" w:cs="Times New Roman"/>
                <w:sz w:val="20"/>
                <w:szCs w:val="20"/>
              </w:rPr>
              <w:t>00 ppm</w:t>
            </w:r>
          </w:p>
        </w:tc>
        <w:tc>
          <w:tcPr>
            <w:tcW w:w="1701"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10 ppm</w:t>
            </w:r>
          </w:p>
        </w:tc>
        <w:tc>
          <w:tcPr>
            <w:tcW w:w="1621"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1 ppm</w:t>
            </w:r>
          </w:p>
        </w:tc>
      </w:tr>
      <w:tr w:rsidR="00261DA3" w:rsidTr="00261DA3">
        <w:tc>
          <w:tcPr>
            <w:tcW w:w="2660"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liquid waste  from rare earth oxalate process</w:t>
            </w:r>
          </w:p>
        </w:tc>
        <w:tc>
          <w:tcPr>
            <w:tcW w:w="1559"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2000 ppm</w:t>
            </w:r>
          </w:p>
        </w:tc>
        <w:tc>
          <w:tcPr>
            <w:tcW w:w="1701" w:type="dxa"/>
            <w:vAlign w:val="center"/>
          </w:tcPr>
          <w:p w:rsidR="00261DA3" w:rsidRDefault="00AE3FA6"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3</w:t>
            </w:r>
            <w:r w:rsidR="00261DA3">
              <w:rPr>
                <w:rFonts w:ascii="Times New Roman" w:hAnsi="Times New Roman" w:cs="Times New Roman"/>
                <w:sz w:val="20"/>
                <w:szCs w:val="20"/>
              </w:rPr>
              <w:t>00 ppm</w:t>
            </w:r>
          </w:p>
        </w:tc>
        <w:tc>
          <w:tcPr>
            <w:tcW w:w="1701"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10 ppm</w:t>
            </w:r>
          </w:p>
        </w:tc>
        <w:tc>
          <w:tcPr>
            <w:tcW w:w="1621" w:type="dxa"/>
            <w:vAlign w:val="center"/>
          </w:tcPr>
          <w:p w:rsidR="00261DA3" w:rsidRDefault="00261DA3" w:rsidP="00261DA3">
            <w:pPr>
              <w:spacing w:line="360" w:lineRule="auto"/>
              <w:jc w:val="center"/>
              <w:rPr>
                <w:rFonts w:ascii="Times New Roman" w:hAnsi="Times New Roman" w:cs="Times New Roman"/>
                <w:sz w:val="20"/>
                <w:szCs w:val="20"/>
              </w:rPr>
            </w:pPr>
            <w:r>
              <w:rPr>
                <w:rFonts w:ascii="Times New Roman" w:hAnsi="Times New Roman" w:cs="Times New Roman"/>
                <w:sz w:val="20"/>
                <w:szCs w:val="20"/>
              </w:rPr>
              <w:t>&lt; 1 ppm</w:t>
            </w:r>
          </w:p>
        </w:tc>
      </w:tr>
    </w:tbl>
    <w:p w:rsidR="007B0912" w:rsidRPr="00D6106E" w:rsidRDefault="007B0912" w:rsidP="00261DA3">
      <w:pPr>
        <w:spacing w:after="60" w:line="360" w:lineRule="auto"/>
        <w:jc w:val="center"/>
        <w:rPr>
          <w:rFonts w:ascii="Times New Roman" w:hAnsi="Times New Roman" w:cs="Times New Roman"/>
          <w:sz w:val="20"/>
          <w:szCs w:val="20"/>
        </w:rPr>
      </w:pPr>
    </w:p>
    <w:p w:rsidR="00DA36FB" w:rsidRDefault="00DA36FB" w:rsidP="00036465">
      <w:pPr>
        <w:spacing w:after="60" w:line="240" w:lineRule="auto"/>
        <w:rPr>
          <w:rFonts w:ascii="Times New Roman" w:hAnsi="Times New Roman" w:cs="Times New Roman"/>
          <w:sz w:val="20"/>
          <w:szCs w:val="20"/>
        </w:rPr>
      </w:pPr>
    </w:p>
    <w:p w:rsidR="00DA36FB" w:rsidRPr="00E4703F" w:rsidRDefault="00DA36FB" w:rsidP="00E4703F">
      <w:pPr>
        <w:spacing w:after="60" w:line="360" w:lineRule="auto"/>
        <w:jc w:val="both"/>
        <w:rPr>
          <w:rFonts w:ascii="Times New Roman" w:hAnsi="Times New Roman" w:cs="Times New Roman"/>
          <w:sz w:val="20"/>
          <w:szCs w:val="20"/>
        </w:rPr>
      </w:pPr>
      <w:r w:rsidRPr="00E4703F">
        <w:rPr>
          <w:rFonts w:ascii="Times New Roman" w:hAnsi="Times New Roman" w:cs="Times New Roman"/>
          <w:sz w:val="20"/>
          <w:szCs w:val="20"/>
        </w:rPr>
        <w:t>Effective processes for the treatment of most types of radioactive wastes have been developed. Therefore co precipitation method was used for treatment of liquid waste. Before treatment, all of liquid waste pH was adjusted to 2.5 and chemical precipitation method was used to precipitate. Analytical result of liquid waste before treatment was given by X- ray Fluorescence Spectrometer (XRF). Radioactive elements, uranium and thorium also contain in that liquid waste. Experiments have been done by using the liquid waste 1, 2, 3, 4, 5, 6, 7, 8, 9, 10, 15, 20, 25 and 30 liters of waste before treatment and after treatment.  Before treatment   thorium contained (&lt; 2000</w:t>
      </w:r>
      <w:r w:rsidR="00AE3FA6">
        <w:rPr>
          <w:rFonts w:ascii="Times New Roman" w:hAnsi="Times New Roman" w:cs="Times New Roman"/>
          <w:sz w:val="20"/>
          <w:szCs w:val="20"/>
        </w:rPr>
        <w:t xml:space="preserve"> ppm) and uranium contained (&lt; 3</w:t>
      </w:r>
      <w:r w:rsidRPr="00E4703F">
        <w:rPr>
          <w:rFonts w:ascii="Times New Roman" w:hAnsi="Times New Roman" w:cs="Times New Roman"/>
          <w:sz w:val="20"/>
          <w:szCs w:val="20"/>
        </w:rPr>
        <w:t>00 ppm) range. The concentrate that is used for the refining process contains if uranium (30 ppm) and thorium (1700 ppm) that generates between 3.5 to 8 Bq/g of specific activity. According to the threshold limits for the UK radioactive classification system,   liquid waste from rare earth processing was in    (4 ~ 400 Bq/g) and it is in the range of low l</w:t>
      </w:r>
      <w:r w:rsidR="00243DC5">
        <w:rPr>
          <w:rFonts w:ascii="Times New Roman" w:hAnsi="Times New Roman" w:cs="Times New Roman"/>
          <w:sz w:val="20"/>
          <w:szCs w:val="20"/>
        </w:rPr>
        <w:t xml:space="preserve">evel waste </w:t>
      </w:r>
      <w:r w:rsidRPr="00E4703F">
        <w:rPr>
          <w:rFonts w:ascii="Times New Roman" w:hAnsi="Times New Roman" w:cs="Times New Roman"/>
          <w:sz w:val="20"/>
          <w:szCs w:val="20"/>
        </w:rPr>
        <w:t>[4]</w:t>
      </w:r>
      <w:r w:rsidR="00243DC5">
        <w:rPr>
          <w:rFonts w:ascii="Times New Roman" w:hAnsi="Times New Roman" w:cs="Times New Roman"/>
          <w:sz w:val="20"/>
          <w:szCs w:val="20"/>
        </w:rPr>
        <w:t>.</w:t>
      </w:r>
    </w:p>
    <w:p w:rsidR="00DA36FB" w:rsidRPr="00E4703F" w:rsidRDefault="00DA36FB" w:rsidP="00E4703F">
      <w:pPr>
        <w:spacing w:after="60" w:line="360" w:lineRule="auto"/>
        <w:ind w:firstLine="720"/>
        <w:jc w:val="both"/>
        <w:rPr>
          <w:rFonts w:ascii="Times New Roman" w:hAnsi="Times New Roman" w:cs="Times New Roman"/>
          <w:sz w:val="20"/>
          <w:szCs w:val="20"/>
        </w:rPr>
      </w:pPr>
      <w:r w:rsidRPr="00E4703F">
        <w:rPr>
          <w:rFonts w:ascii="Times New Roman" w:hAnsi="Times New Roman" w:cs="Times New Roman"/>
          <w:sz w:val="20"/>
          <w:szCs w:val="20"/>
        </w:rPr>
        <w:t>After treatment of liquid waste by chemical precipitation, result in</w:t>
      </w:r>
      <w:r w:rsidR="00812497">
        <w:rPr>
          <w:rFonts w:ascii="Times New Roman" w:hAnsi="Times New Roman" w:cs="Times New Roman"/>
          <w:sz w:val="20"/>
          <w:szCs w:val="20"/>
        </w:rPr>
        <w:t xml:space="preserve"> decant water gives uranium (&lt; 1 ppm) and thorium (&lt; 10</w:t>
      </w:r>
      <w:r w:rsidRPr="00E4703F">
        <w:rPr>
          <w:rFonts w:ascii="Times New Roman" w:hAnsi="Times New Roman" w:cs="Times New Roman"/>
          <w:sz w:val="20"/>
          <w:szCs w:val="20"/>
        </w:rPr>
        <w:t xml:space="preserve"> ppm). According to the threshold limits for the UK radioactive classification system,   liquid waste from rare earth processing was less than (0.4 Bq/g) and this range is in exempt waste and can be discharge to drain and to the environment safety. Decant water passed through to the activated carbon column step gives to remove contaminants from water; absorption and catalytic reduction, activated carbon also can make more attractive to chemical and impurities. This step gives safer to discharge to the environment.</w:t>
      </w:r>
      <w:r w:rsidRPr="00E4703F">
        <w:rPr>
          <w:rFonts w:ascii="Times New Roman" w:eastAsia="Times New Roman" w:hAnsi="Times New Roman" w:cs="Times New Roman"/>
          <w:b/>
          <w:color w:val="000000" w:themeColor="text1"/>
          <w:sz w:val="18"/>
          <w:szCs w:val="18"/>
        </w:rPr>
        <w:t xml:space="preserve"> </w:t>
      </w:r>
      <w:r w:rsidRPr="00E4703F">
        <w:rPr>
          <w:rFonts w:ascii="Times New Roman" w:eastAsia="Times New Roman" w:hAnsi="Times New Roman" w:cs="Times New Roman"/>
          <w:color w:val="000000" w:themeColor="text1"/>
          <w:sz w:val="20"/>
          <w:szCs w:val="20"/>
        </w:rPr>
        <w:t>The safety regime was in place and improved simultaneously by survey monitoring by using Alert Monitor 4 meter Scale in USV/H.</w:t>
      </w:r>
    </w:p>
    <w:p w:rsidR="00DA36FB" w:rsidRPr="00E4703F" w:rsidRDefault="00DA36FB" w:rsidP="00E4703F">
      <w:pPr>
        <w:spacing w:after="60" w:line="360" w:lineRule="auto"/>
        <w:jc w:val="center"/>
        <w:rPr>
          <w:rFonts w:ascii="Times New Roman" w:hAnsi="Times New Roman" w:cs="Times New Roman"/>
          <w:sz w:val="20"/>
          <w:szCs w:val="20"/>
        </w:rPr>
      </w:pPr>
    </w:p>
    <w:p w:rsidR="00DA36FB" w:rsidRPr="00E4703F" w:rsidRDefault="00E4703F" w:rsidP="00E4703F">
      <w:pPr>
        <w:spacing w:after="60" w:line="360" w:lineRule="auto"/>
        <w:contextualSpacing/>
        <w:rPr>
          <w:rFonts w:ascii="Times New Roman" w:hAnsi="Times New Roman" w:cs="Times New Roman"/>
          <w:b/>
          <w:sz w:val="20"/>
          <w:szCs w:val="20"/>
        </w:rPr>
      </w:pPr>
      <w:r w:rsidRPr="00E4703F">
        <w:rPr>
          <w:rFonts w:ascii="Times New Roman" w:hAnsi="Times New Roman" w:cs="Times New Roman"/>
          <w:b/>
          <w:sz w:val="20"/>
          <w:szCs w:val="20"/>
        </w:rPr>
        <w:t>4. Conclusions</w:t>
      </w:r>
    </w:p>
    <w:p w:rsidR="00E4703F" w:rsidRPr="00E4703F" w:rsidRDefault="00E4703F" w:rsidP="00E4703F">
      <w:pPr>
        <w:spacing w:after="60" w:line="360" w:lineRule="auto"/>
        <w:jc w:val="both"/>
        <w:rPr>
          <w:rFonts w:ascii="Times New Roman" w:hAnsi="Times New Roman" w:cs="Times New Roman"/>
          <w:sz w:val="20"/>
          <w:szCs w:val="20"/>
        </w:rPr>
      </w:pPr>
    </w:p>
    <w:p w:rsidR="00DA36FB" w:rsidRPr="00E4703F" w:rsidRDefault="00DA36FB" w:rsidP="00E4703F">
      <w:pPr>
        <w:spacing w:after="60" w:line="360" w:lineRule="auto"/>
        <w:jc w:val="both"/>
        <w:rPr>
          <w:rFonts w:ascii="Times New Roman" w:hAnsi="Times New Roman" w:cs="Times New Roman"/>
          <w:sz w:val="20"/>
          <w:szCs w:val="20"/>
        </w:rPr>
      </w:pPr>
      <w:r w:rsidRPr="00E4703F">
        <w:rPr>
          <w:rFonts w:ascii="Times New Roman" w:hAnsi="Times New Roman" w:cs="Times New Roman"/>
          <w:sz w:val="20"/>
          <w:szCs w:val="20"/>
        </w:rPr>
        <w:t xml:space="preserve">Wastes from the mining and processing of radioactive ores are potential sources of radiological impact, both for those working in the industry and for members of the public who may be exposed if wastes are dispersed in the environment. Liquid waste treatment from rare earth processing laboratory is classified as low level waste. Before dispersed to the environment, liquid waste required to remove contaminants in waste stream. Treatment methods are selected on the composition, quantity and form of waste materials. Effective processes for the </w:t>
      </w:r>
      <w:r w:rsidRPr="00E4703F">
        <w:rPr>
          <w:rFonts w:ascii="Times New Roman" w:hAnsi="Times New Roman" w:cs="Times New Roman"/>
          <w:sz w:val="20"/>
          <w:szCs w:val="20"/>
        </w:rPr>
        <w:lastRenderedPageBreak/>
        <w:t xml:space="preserve">treatment of most types of radioactive wastes have been developed. Chemical precipitation method was used for treatment of liquid waste from rare earth processing. After treatment, decontaminated effluents were in an acceptable level and can be safely discharge to the environment. According to the X- ray Fluorescence Spectrometer (XRF) result, the sludge from liquid waste treatment contains uranium and thorium. All of the sludge was stored in containers and placed in storage and therefore additional measures may be needed to provide for the protection of future generation.    </w:t>
      </w:r>
    </w:p>
    <w:p w:rsidR="00DA36FB" w:rsidRPr="00E4703F" w:rsidRDefault="00DA36FB" w:rsidP="00E4703F">
      <w:pPr>
        <w:spacing w:after="60" w:line="360" w:lineRule="auto"/>
        <w:jc w:val="both"/>
        <w:rPr>
          <w:rFonts w:ascii="Times New Roman" w:hAnsi="Times New Roman" w:cs="Times New Roman"/>
          <w:sz w:val="20"/>
          <w:szCs w:val="20"/>
        </w:rPr>
      </w:pPr>
      <w:r w:rsidRPr="00E4703F">
        <w:rPr>
          <w:rFonts w:ascii="Times New Roman" w:hAnsi="Times New Roman" w:cs="Times New Roman"/>
          <w:sz w:val="20"/>
          <w:szCs w:val="20"/>
        </w:rPr>
        <w:t xml:space="preserve">  </w:t>
      </w:r>
    </w:p>
    <w:p w:rsidR="00DA36FB" w:rsidRPr="00E4703F" w:rsidRDefault="00E4703F" w:rsidP="00E4703F">
      <w:pPr>
        <w:spacing w:after="60" w:line="360" w:lineRule="auto"/>
        <w:rPr>
          <w:rFonts w:ascii="Times New Roman" w:hAnsi="Times New Roman" w:cs="Times New Roman"/>
          <w:b/>
          <w:sz w:val="20"/>
          <w:szCs w:val="20"/>
        </w:rPr>
      </w:pPr>
      <w:r w:rsidRPr="00E4703F">
        <w:rPr>
          <w:rFonts w:ascii="Times New Roman" w:hAnsi="Times New Roman" w:cs="Times New Roman"/>
          <w:b/>
          <w:sz w:val="20"/>
          <w:szCs w:val="20"/>
        </w:rPr>
        <w:t>Acknowledgement</w:t>
      </w:r>
      <w:r w:rsidR="007E70C6">
        <w:rPr>
          <w:rFonts w:ascii="Times New Roman" w:hAnsi="Times New Roman" w:cs="Times New Roman"/>
          <w:b/>
          <w:sz w:val="20"/>
          <w:szCs w:val="20"/>
        </w:rPr>
        <w:t>s</w:t>
      </w:r>
      <w:r w:rsidR="00DA36FB" w:rsidRPr="00E4703F">
        <w:rPr>
          <w:rFonts w:ascii="Times New Roman" w:hAnsi="Times New Roman" w:cs="Times New Roman"/>
          <w:b/>
          <w:sz w:val="20"/>
          <w:szCs w:val="20"/>
        </w:rPr>
        <w:t xml:space="preserve"> </w:t>
      </w:r>
    </w:p>
    <w:p w:rsidR="00E4703F" w:rsidRDefault="00E4703F" w:rsidP="00E4703F">
      <w:pPr>
        <w:spacing w:after="60" w:line="360" w:lineRule="auto"/>
        <w:jc w:val="both"/>
        <w:rPr>
          <w:rFonts w:ascii="Times New Roman" w:hAnsi="Times New Roman" w:cs="Times New Roman"/>
          <w:sz w:val="20"/>
          <w:szCs w:val="20"/>
        </w:rPr>
      </w:pPr>
    </w:p>
    <w:p w:rsidR="00DA36FB" w:rsidRPr="00E4703F" w:rsidRDefault="00DA36FB" w:rsidP="00E4703F">
      <w:pPr>
        <w:spacing w:after="60" w:line="360" w:lineRule="auto"/>
        <w:jc w:val="both"/>
        <w:rPr>
          <w:rFonts w:ascii="Times New Roman" w:hAnsi="Times New Roman" w:cs="Times New Roman"/>
          <w:sz w:val="20"/>
          <w:szCs w:val="20"/>
        </w:rPr>
      </w:pPr>
      <w:r w:rsidRPr="00E4703F">
        <w:rPr>
          <w:rFonts w:ascii="Times New Roman" w:hAnsi="Times New Roman" w:cs="Times New Roman"/>
          <w:sz w:val="20"/>
          <w:szCs w:val="20"/>
        </w:rPr>
        <w:t>The authors deeply grateful to our Director General</w:t>
      </w:r>
      <w:r w:rsidR="00131893">
        <w:rPr>
          <w:rFonts w:ascii="Times New Roman" w:hAnsi="Times New Roman" w:cs="Times New Roman"/>
          <w:sz w:val="20"/>
          <w:szCs w:val="20"/>
        </w:rPr>
        <w:t>,</w:t>
      </w:r>
      <w:r w:rsidRPr="00E4703F">
        <w:rPr>
          <w:rFonts w:ascii="Times New Roman" w:hAnsi="Times New Roman" w:cs="Times New Roman"/>
          <w:sz w:val="20"/>
          <w:szCs w:val="20"/>
        </w:rPr>
        <w:t xml:space="preserve"> </w:t>
      </w:r>
      <w:r w:rsidR="00E4703F">
        <w:rPr>
          <w:rFonts w:ascii="Times New Roman" w:hAnsi="Times New Roman" w:cs="Times New Roman"/>
          <w:sz w:val="20"/>
          <w:szCs w:val="20"/>
        </w:rPr>
        <w:t xml:space="preserve">Department of Research and Innovation </w:t>
      </w:r>
      <w:r w:rsidRPr="00E4703F">
        <w:rPr>
          <w:rFonts w:ascii="Times New Roman" w:hAnsi="Times New Roman" w:cs="Times New Roman"/>
          <w:sz w:val="20"/>
          <w:szCs w:val="20"/>
        </w:rPr>
        <w:t>and thanks to Deputy Direc</w:t>
      </w:r>
      <w:r w:rsidR="00131893">
        <w:rPr>
          <w:rFonts w:ascii="Times New Roman" w:hAnsi="Times New Roman" w:cs="Times New Roman"/>
          <w:sz w:val="20"/>
          <w:szCs w:val="20"/>
        </w:rPr>
        <w:t>tor General,</w:t>
      </w:r>
      <w:r w:rsidR="00E4703F">
        <w:rPr>
          <w:rFonts w:ascii="Times New Roman" w:hAnsi="Times New Roman" w:cs="Times New Roman"/>
          <w:sz w:val="20"/>
          <w:szCs w:val="20"/>
        </w:rPr>
        <w:t xml:space="preserve"> </w:t>
      </w:r>
      <w:r w:rsidR="00E4703F" w:rsidRPr="00E4703F">
        <w:rPr>
          <w:rFonts w:ascii="Times New Roman" w:hAnsi="Times New Roman" w:cs="Times New Roman"/>
          <w:sz w:val="20"/>
          <w:szCs w:val="20"/>
        </w:rPr>
        <w:t>Material Science Resear</w:t>
      </w:r>
      <w:r w:rsidR="007E70C6">
        <w:rPr>
          <w:rFonts w:ascii="Times New Roman" w:hAnsi="Times New Roman" w:cs="Times New Roman"/>
          <w:sz w:val="20"/>
          <w:szCs w:val="20"/>
        </w:rPr>
        <w:t>ch Division</w:t>
      </w:r>
      <w:r w:rsidRPr="00E4703F">
        <w:rPr>
          <w:rFonts w:ascii="Times New Roman" w:hAnsi="Times New Roman" w:cs="Times New Roman"/>
          <w:sz w:val="20"/>
          <w:szCs w:val="20"/>
        </w:rPr>
        <w:t>, Ministry of Education to allow us to do this research work. Deeply thank to all of our team members who for co-operation and implementation for this paper.</w:t>
      </w:r>
    </w:p>
    <w:p w:rsidR="00DA36FB" w:rsidRPr="00E4703F" w:rsidRDefault="00DA36FB" w:rsidP="00E4703F">
      <w:pPr>
        <w:spacing w:after="60" w:line="360" w:lineRule="auto"/>
        <w:jc w:val="both"/>
        <w:rPr>
          <w:rFonts w:ascii="Times New Roman" w:hAnsi="Times New Roman" w:cs="Times New Roman"/>
          <w:sz w:val="20"/>
          <w:szCs w:val="20"/>
        </w:rPr>
      </w:pPr>
    </w:p>
    <w:p w:rsidR="00DA36FB" w:rsidRPr="00E4703F" w:rsidRDefault="00DA36FB" w:rsidP="00E4703F">
      <w:pPr>
        <w:spacing w:after="60" w:line="360" w:lineRule="auto"/>
        <w:rPr>
          <w:rFonts w:ascii="Times New Roman" w:hAnsi="Times New Roman" w:cs="Times New Roman"/>
          <w:b/>
          <w:sz w:val="20"/>
          <w:szCs w:val="20"/>
        </w:rPr>
      </w:pPr>
      <w:r w:rsidRPr="00E4703F">
        <w:rPr>
          <w:rFonts w:ascii="Times New Roman" w:hAnsi="Times New Roman" w:cs="Times New Roman"/>
          <w:b/>
          <w:sz w:val="20"/>
          <w:szCs w:val="20"/>
        </w:rPr>
        <w:t>R</w:t>
      </w:r>
      <w:r w:rsidR="00E4703F" w:rsidRPr="00E4703F">
        <w:rPr>
          <w:rFonts w:ascii="Times New Roman" w:hAnsi="Times New Roman" w:cs="Times New Roman"/>
          <w:b/>
          <w:sz w:val="20"/>
          <w:szCs w:val="20"/>
        </w:rPr>
        <w:t>eferences</w:t>
      </w:r>
    </w:p>
    <w:p w:rsidR="00E4703F" w:rsidRPr="00E4703F" w:rsidRDefault="00E4703F" w:rsidP="00E4703F">
      <w:pPr>
        <w:spacing w:after="60" w:line="360" w:lineRule="auto"/>
        <w:rPr>
          <w:rFonts w:ascii="Times New Roman" w:hAnsi="Times New Roman" w:cs="Times New Roman"/>
          <w:b/>
          <w:sz w:val="20"/>
          <w:szCs w:val="20"/>
        </w:rPr>
      </w:pPr>
    </w:p>
    <w:p w:rsidR="00DA36FB" w:rsidRDefault="00DA36FB" w:rsidP="00E4703F">
      <w:pPr>
        <w:spacing w:after="60" w:line="360" w:lineRule="auto"/>
        <w:ind w:left="426" w:hanging="426"/>
        <w:jc w:val="both"/>
        <w:rPr>
          <w:rFonts w:ascii="Times New Roman" w:hAnsi="Times New Roman" w:cs="Times New Roman"/>
          <w:sz w:val="20"/>
          <w:szCs w:val="20"/>
        </w:rPr>
      </w:pPr>
      <w:r w:rsidRPr="00E4703F">
        <w:rPr>
          <w:rFonts w:ascii="Times New Roman" w:hAnsi="Times New Roman" w:cs="Times New Roman"/>
          <w:sz w:val="20"/>
          <w:szCs w:val="20"/>
        </w:rPr>
        <w:t>[1]    Gupta CK., Krishnamurty.</w:t>
      </w:r>
      <w:r w:rsidR="00131893">
        <w:rPr>
          <w:rFonts w:ascii="Times New Roman" w:hAnsi="Times New Roman" w:cs="Times New Roman"/>
          <w:sz w:val="20"/>
          <w:szCs w:val="20"/>
        </w:rPr>
        <w:t xml:space="preserve"> </w:t>
      </w:r>
      <w:r w:rsidRPr="00E4703F">
        <w:rPr>
          <w:rFonts w:ascii="Times New Roman" w:hAnsi="Times New Roman" w:cs="Times New Roman"/>
          <w:sz w:val="20"/>
          <w:szCs w:val="20"/>
        </w:rPr>
        <w:t xml:space="preserve">N. </w:t>
      </w:r>
      <w:r w:rsidRPr="00E4703F">
        <w:rPr>
          <w:rFonts w:ascii="Times New Roman" w:hAnsi="Times New Roman" w:cs="Times New Roman"/>
          <w:i/>
          <w:sz w:val="20"/>
          <w:szCs w:val="20"/>
        </w:rPr>
        <w:t>Extractive Metallurgy of Rare Earths</w:t>
      </w:r>
      <w:r w:rsidRPr="00E4703F">
        <w:rPr>
          <w:rFonts w:ascii="Times New Roman" w:hAnsi="Times New Roman" w:cs="Times New Roman"/>
          <w:sz w:val="20"/>
          <w:szCs w:val="20"/>
        </w:rPr>
        <w:t>, CRC Press, 2005</w:t>
      </w:r>
    </w:p>
    <w:p w:rsidR="007E70C6" w:rsidRPr="00E4703F" w:rsidRDefault="007E70C6" w:rsidP="00E4703F">
      <w:pPr>
        <w:spacing w:after="60" w:line="360" w:lineRule="auto"/>
        <w:ind w:left="426" w:hanging="426"/>
        <w:jc w:val="both"/>
        <w:rPr>
          <w:rFonts w:ascii="Times New Roman" w:hAnsi="Times New Roman" w:cs="Times New Roman"/>
          <w:sz w:val="20"/>
          <w:szCs w:val="20"/>
        </w:rPr>
      </w:pPr>
    </w:p>
    <w:p w:rsidR="00DA36FB" w:rsidRDefault="00DA36FB" w:rsidP="00E4703F">
      <w:pPr>
        <w:spacing w:after="60" w:line="360" w:lineRule="auto"/>
        <w:ind w:left="567" w:hanging="567"/>
        <w:jc w:val="both"/>
        <w:rPr>
          <w:rFonts w:ascii="Times New Roman" w:hAnsi="Times New Roman" w:cs="Times New Roman"/>
          <w:sz w:val="20"/>
          <w:szCs w:val="20"/>
        </w:rPr>
      </w:pPr>
      <w:r w:rsidRPr="00E4703F">
        <w:rPr>
          <w:rFonts w:ascii="Times New Roman" w:hAnsi="Times New Roman" w:cs="Times New Roman"/>
          <w:sz w:val="20"/>
          <w:szCs w:val="20"/>
        </w:rPr>
        <w:t>[2]     C. A. Mawson, Management of Radioactive Wastes, 1965</w:t>
      </w:r>
    </w:p>
    <w:p w:rsidR="007E70C6" w:rsidRPr="00E4703F" w:rsidRDefault="007E70C6" w:rsidP="00E4703F">
      <w:pPr>
        <w:spacing w:after="60" w:line="360" w:lineRule="auto"/>
        <w:ind w:left="567" w:hanging="567"/>
        <w:jc w:val="both"/>
        <w:rPr>
          <w:rFonts w:ascii="Times New Roman" w:hAnsi="Times New Roman" w:cs="Times New Roman"/>
          <w:sz w:val="20"/>
          <w:szCs w:val="20"/>
        </w:rPr>
      </w:pPr>
    </w:p>
    <w:p w:rsidR="007E70C6" w:rsidRDefault="00DA36FB" w:rsidP="00E4703F">
      <w:pPr>
        <w:spacing w:after="60" w:line="360" w:lineRule="auto"/>
        <w:ind w:left="426" w:hanging="426"/>
        <w:jc w:val="both"/>
        <w:rPr>
          <w:rFonts w:ascii="Times New Roman" w:hAnsi="Times New Roman" w:cs="Times New Roman"/>
          <w:sz w:val="20"/>
          <w:szCs w:val="20"/>
        </w:rPr>
      </w:pPr>
      <w:r w:rsidRPr="00E4703F">
        <w:rPr>
          <w:rFonts w:ascii="Times New Roman" w:hAnsi="Times New Roman" w:cs="Times New Roman"/>
          <w:sz w:val="20"/>
          <w:szCs w:val="20"/>
        </w:rPr>
        <w:t>[3</w:t>
      </w:r>
      <w:r w:rsidR="007E70C6">
        <w:rPr>
          <w:rFonts w:ascii="Times New Roman" w:hAnsi="Times New Roman" w:cs="Times New Roman"/>
          <w:sz w:val="20"/>
          <w:szCs w:val="20"/>
        </w:rPr>
        <w:t xml:space="preserve">]   </w:t>
      </w:r>
      <w:r w:rsidRPr="00E4703F">
        <w:rPr>
          <w:rFonts w:ascii="Times New Roman" w:hAnsi="Times New Roman" w:cs="Times New Roman"/>
          <w:sz w:val="20"/>
          <w:szCs w:val="20"/>
        </w:rPr>
        <w:t>P.M.B. Pillai, Naturally Occurring Radioactive Material (NORM)   in the Extraction and Processing of Rare Earths, Proceedings of an International Symposium Seville, IAEA, Spain, 19-22 March 2007</w:t>
      </w:r>
    </w:p>
    <w:p w:rsidR="00DA36FB" w:rsidRPr="00E4703F" w:rsidRDefault="00DA36FB" w:rsidP="00E4703F">
      <w:pPr>
        <w:spacing w:after="60" w:line="360" w:lineRule="auto"/>
        <w:ind w:left="426" w:hanging="426"/>
        <w:jc w:val="both"/>
        <w:rPr>
          <w:rFonts w:ascii="Times New Roman" w:hAnsi="Times New Roman" w:cs="Times New Roman"/>
          <w:sz w:val="20"/>
          <w:szCs w:val="20"/>
        </w:rPr>
      </w:pPr>
      <w:r w:rsidRPr="00E4703F">
        <w:rPr>
          <w:rFonts w:ascii="Times New Roman" w:hAnsi="Times New Roman" w:cs="Times New Roman"/>
          <w:sz w:val="20"/>
          <w:szCs w:val="20"/>
        </w:rPr>
        <w:t xml:space="preserve"> </w:t>
      </w:r>
    </w:p>
    <w:p w:rsidR="00DA36FB" w:rsidRDefault="00DA36FB" w:rsidP="00E4703F">
      <w:pPr>
        <w:spacing w:after="60" w:line="360" w:lineRule="auto"/>
        <w:ind w:left="426" w:hanging="426"/>
        <w:jc w:val="both"/>
        <w:rPr>
          <w:rFonts w:ascii="Times New Roman" w:hAnsi="Times New Roman" w:cs="Times New Roman"/>
          <w:sz w:val="20"/>
          <w:szCs w:val="20"/>
        </w:rPr>
      </w:pPr>
      <w:r w:rsidRPr="00E4703F">
        <w:rPr>
          <w:rFonts w:ascii="Times New Roman" w:hAnsi="Times New Roman" w:cs="Times New Roman"/>
          <w:sz w:val="20"/>
          <w:szCs w:val="20"/>
        </w:rPr>
        <w:t>[4]   Lee Bell BA MA (ESD), Rare Earth and Radioactive Waste, A Preliminary Waste Stream Assessment of the Lynas Advanced Materials Plant, Gebeng, Malaysia, 2011</w:t>
      </w:r>
    </w:p>
    <w:p w:rsidR="007E70C6" w:rsidRPr="00E4703F" w:rsidRDefault="007E70C6" w:rsidP="00E4703F">
      <w:pPr>
        <w:spacing w:after="60" w:line="360" w:lineRule="auto"/>
        <w:ind w:left="426" w:hanging="426"/>
        <w:jc w:val="both"/>
        <w:rPr>
          <w:rFonts w:ascii="Times New Roman" w:hAnsi="Times New Roman" w:cs="Times New Roman"/>
          <w:sz w:val="20"/>
          <w:szCs w:val="20"/>
        </w:rPr>
      </w:pPr>
    </w:p>
    <w:p w:rsidR="00DA36FB" w:rsidRDefault="007E70C6" w:rsidP="00E4703F">
      <w:pPr>
        <w:spacing w:after="60" w:line="36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[5]   </w:t>
      </w:r>
      <w:r w:rsidR="00DA36FB" w:rsidRPr="00E4703F">
        <w:rPr>
          <w:rFonts w:ascii="Times New Roman" w:hAnsi="Times New Roman" w:cs="Times New Roman"/>
          <w:sz w:val="20"/>
          <w:szCs w:val="20"/>
        </w:rPr>
        <w:t>International Atomic Energy, Treatment of Alpha Bearing Wastes, Techni</w:t>
      </w:r>
      <w:r>
        <w:rPr>
          <w:rFonts w:ascii="Times New Roman" w:hAnsi="Times New Roman" w:cs="Times New Roman"/>
          <w:sz w:val="20"/>
          <w:szCs w:val="20"/>
        </w:rPr>
        <w:t xml:space="preserve">cal Reports Series No.287, IAEA </w:t>
      </w:r>
      <w:r w:rsidR="00DA36FB" w:rsidRPr="00E4703F">
        <w:rPr>
          <w:rFonts w:ascii="Times New Roman" w:hAnsi="Times New Roman" w:cs="Times New Roman"/>
          <w:sz w:val="20"/>
          <w:szCs w:val="20"/>
        </w:rPr>
        <w:t xml:space="preserve">Vienna, 1988 </w:t>
      </w:r>
    </w:p>
    <w:p w:rsidR="007E70C6" w:rsidRPr="00E4703F" w:rsidRDefault="007E70C6" w:rsidP="00E4703F">
      <w:pPr>
        <w:spacing w:after="60" w:line="360" w:lineRule="auto"/>
        <w:ind w:left="426" w:hanging="426"/>
        <w:jc w:val="both"/>
        <w:rPr>
          <w:rFonts w:ascii="Times New Roman" w:hAnsi="Times New Roman" w:cs="Times New Roman"/>
          <w:sz w:val="20"/>
          <w:szCs w:val="20"/>
        </w:rPr>
      </w:pPr>
    </w:p>
    <w:p w:rsidR="00DA36FB" w:rsidRPr="00E4703F" w:rsidRDefault="00DA36FB" w:rsidP="00E4703F">
      <w:pPr>
        <w:spacing w:after="60" w:line="360" w:lineRule="auto"/>
        <w:ind w:left="426" w:hanging="426"/>
        <w:jc w:val="both"/>
        <w:rPr>
          <w:rFonts w:ascii="Times New Roman" w:hAnsi="Times New Roman" w:cs="Times New Roman"/>
          <w:sz w:val="20"/>
          <w:szCs w:val="20"/>
        </w:rPr>
      </w:pPr>
      <w:r w:rsidRPr="00E4703F">
        <w:rPr>
          <w:rFonts w:ascii="Times New Roman" w:hAnsi="Times New Roman" w:cs="Times New Roman"/>
          <w:sz w:val="20"/>
          <w:szCs w:val="20"/>
        </w:rPr>
        <w:t>[6]   R. H. Burns, J.H. Clarke, T.D. Wright and J. H. Myatt United Kingdom, Present Practices in the treatment of Liquid Wastes at the Atomic Research Establishment, Harwell, Proceedings of a Symposium, IAEA Vienna, 1965</w:t>
      </w:r>
    </w:p>
    <w:p w:rsidR="006978F7" w:rsidRPr="00EE0BA4" w:rsidRDefault="00DA36FB" w:rsidP="00036465">
      <w:pPr>
        <w:spacing w:after="60" w:line="360" w:lineRule="auto"/>
        <w:ind w:left="426" w:hanging="426"/>
        <w:jc w:val="both"/>
        <w:rPr>
          <w:rFonts w:ascii="Times New Roman" w:hAnsi="Times New Roman" w:cs="Times New Roman"/>
          <w:sz w:val="20"/>
          <w:szCs w:val="20"/>
        </w:rPr>
      </w:pPr>
      <w:r w:rsidRPr="00E4703F">
        <w:rPr>
          <w:rFonts w:ascii="Times New Roman" w:hAnsi="Times New Roman" w:cs="Times New Roman"/>
          <w:sz w:val="20"/>
          <w:szCs w:val="20"/>
        </w:rPr>
        <w:t>[7]   D. J.KVAM, University of California, USA, Waste Management Practices at Lawrence Radiation Laboratory, Proceedings of a Symposium, IAEA Vienna, 1965</w:t>
      </w:r>
    </w:p>
    <w:p w:rsidR="00EE0BA4" w:rsidRPr="00EE0BA4" w:rsidRDefault="00EE0BA4" w:rsidP="00EE0BA4">
      <w:pPr>
        <w:spacing w:after="60" w:line="360" w:lineRule="auto"/>
        <w:jc w:val="both"/>
        <w:rPr>
          <w:rFonts w:ascii="Times New Roman" w:hAnsi="Times New Roman" w:cs="Times New Roman"/>
          <w:sz w:val="20"/>
          <w:szCs w:val="20"/>
        </w:rPr>
      </w:pPr>
    </w:p>
    <w:sectPr w:rsidR="00EE0BA4" w:rsidRPr="00EE0BA4" w:rsidSect="00780521">
      <w:headerReference w:type="even" r:id="rId22"/>
      <w:headerReference w:type="default" r:id="rId23"/>
      <w:footerReference w:type="default" r:id="rId24"/>
      <w:headerReference w:type="first" r:id="rId25"/>
      <w:footerReference w:type="first" r:id="rId26"/>
      <w:footnotePr>
        <w:numFmt w:val="lowerLetter"/>
      </w:footnotePr>
      <w:pgSz w:w="11907" w:h="16839" w:code="9"/>
      <w:pgMar w:top="1440" w:right="1440" w:bottom="1440" w:left="1440" w:header="450" w:footer="432"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C48" w:rsidRDefault="00F15C48" w:rsidP="004125D0">
      <w:pPr>
        <w:spacing w:after="0" w:line="240" w:lineRule="auto"/>
      </w:pPr>
      <w:r>
        <w:separator/>
      </w:r>
    </w:p>
  </w:endnote>
  <w:endnote w:type="continuationSeparator" w:id="1">
    <w:p w:rsidR="00F15C48" w:rsidRDefault="00F15C48" w:rsidP="00412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RomanD">
    <w:panose1 w:val="000004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7902"/>
      <w:docPartObj>
        <w:docPartGallery w:val="Page Numbers (Bottom of Page)"/>
        <w:docPartUnique/>
      </w:docPartObj>
    </w:sdtPr>
    <w:sdtContent>
      <w:p w:rsidR="00CF3A4D" w:rsidRDefault="00534B07">
        <w:pPr>
          <w:pStyle w:val="Footer"/>
          <w:jc w:val="center"/>
        </w:pPr>
        <w:r w:rsidRPr="00FF6C21">
          <w:rPr>
            <w:sz w:val="20"/>
            <w:szCs w:val="20"/>
          </w:rPr>
          <w:fldChar w:fldCharType="begin"/>
        </w:r>
        <w:r w:rsidR="00CF3A4D" w:rsidRPr="00FF6C21">
          <w:rPr>
            <w:sz w:val="20"/>
            <w:szCs w:val="20"/>
          </w:rPr>
          <w:instrText xml:space="preserve"> PAGE   \* MERGEFORMAT </w:instrText>
        </w:r>
        <w:r w:rsidRPr="00FF6C21">
          <w:rPr>
            <w:sz w:val="20"/>
            <w:szCs w:val="20"/>
          </w:rPr>
          <w:fldChar w:fldCharType="separate"/>
        </w:r>
        <w:r w:rsidR="00DB0868" w:rsidRPr="00DB0868">
          <w:rPr>
            <w:rFonts w:cs="Calibri"/>
            <w:noProof/>
            <w:sz w:val="20"/>
            <w:szCs w:val="20"/>
            <w:lang w:val="ar-SA"/>
          </w:rPr>
          <w:t>2</w:t>
        </w:r>
        <w:r w:rsidRPr="00FF6C21">
          <w:rPr>
            <w:sz w:val="20"/>
            <w:szCs w:val="20"/>
          </w:rPr>
          <w:fldChar w:fldCharType="end"/>
        </w:r>
      </w:p>
    </w:sdtContent>
  </w:sdt>
  <w:p w:rsidR="00CF3A4D" w:rsidRDefault="00CF3A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7901"/>
      <w:docPartObj>
        <w:docPartGallery w:val="Page Numbers (Bottom of Page)"/>
        <w:docPartUnique/>
      </w:docPartObj>
    </w:sdtPr>
    <w:sdtContent>
      <w:p w:rsidR="00CF3A4D" w:rsidRDefault="00534B07">
        <w:pPr>
          <w:pStyle w:val="Footer"/>
          <w:jc w:val="center"/>
        </w:pPr>
        <w:r w:rsidRPr="00FF6C21">
          <w:rPr>
            <w:sz w:val="20"/>
            <w:szCs w:val="20"/>
          </w:rPr>
          <w:fldChar w:fldCharType="begin"/>
        </w:r>
        <w:r w:rsidR="00CF3A4D" w:rsidRPr="00FF6C21">
          <w:rPr>
            <w:sz w:val="20"/>
            <w:szCs w:val="20"/>
          </w:rPr>
          <w:instrText xml:space="preserve"> PAGE   \* MERGEFORMAT </w:instrText>
        </w:r>
        <w:r w:rsidRPr="00FF6C21">
          <w:rPr>
            <w:sz w:val="20"/>
            <w:szCs w:val="20"/>
          </w:rPr>
          <w:fldChar w:fldCharType="separate"/>
        </w:r>
        <w:r w:rsidR="001F7D00" w:rsidRPr="001F7D00">
          <w:rPr>
            <w:rFonts w:cs="Calibri"/>
            <w:noProof/>
            <w:sz w:val="20"/>
            <w:szCs w:val="20"/>
            <w:lang w:val="ar-SA"/>
          </w:rPr>
          <w:t>1</w:t>
        </w:r>
        <w:r w:rsidRPr="00FF6C21">
          <w:rPr>
            <w:sz w:val="20"/>
            <w:szCs w:val="20"/>
          </w:rPr>
          <w:fldChar w:fldCharType="end"/>
        </w:r>
      </w:p>
    </w:sdtContent>
  </w:sdt>
  <w:p w:rsidR="00CF3A4D" w:rsidRDefault="00CF3A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C48" w:rsidRDefault="00F15C48" w:rsidP="004125D0">
      <w:pPr>
        <w:spacing w:after="0" w:line="240" w:lineRule="auto"/>
      </w:pPr>
      <w:r>
        <w:separator/>
      </w:r>
    </w:p>
  </w:footnote>
  <w:footnote w:type="continuationSeparator" w:id="1">
    <w:p w:rsidR="00F15C48" w:rsidRDefault="00F15C48" w:rsidP="004125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A4D" w:rsidRDefault="00CF3A4D" w:rsidP="005E155F">
    <w:pPr>
      <w:pStyle w:val="Header"/>
      <w:tabs>
        <w:tab w:val="center" w:pos="492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A4D" w:rsidRDefault="00CF3A4D" w:rsidP="00FF6C21">
    <w:pPr>
      <w:pStyle w:val="Header"/>
      <w:jc w:val="center"/>
      <w:rPr>
        <w:szCs w:val="16"/>
      </w:rPr>
    </w:pPr>
    <w:r w:rsidRPr="003B3E7E">
      <w:rPr>
        <w:szCs w:val="16"/>
      </w:rPr>
      <w:t>American Scientific Research Journal for Engineering, Technology, and Sciences (ASRJETS</w:t>
    </w:r>
    <w:r w:rsidRPr="003B3E7E">
      <w:rPr>
        <w:rStyle w:val="Strong"/>
        <w:color w:val="111111"/>
        <w:szCs w:val="16"/>
        <w:shd w:val="clear" w:color="auto" w:fill="FFFFFF"/>
      </w:rPr>
      <w:t>)</w:t>
    </w:r>
    <w:r w:rsidRPr="003B3E7E">
      <w:rPr>
        <w:szCs w:val="16"/>
      </w:rPr>
      <w:t xml:space="preserve"> (</w:t>
    </w:r>
    <w:r w:rsidR="00534B07" w:rsidRPr="003B3E7E">
      <w:rPr>
        <w:szCs w:val="16"/>
      </w:rPr>
      <w:fldChar w:fldCharType="begin"/>
    </w:r>
    <w:r w:rsidRPr="003B3E7E">
      <w:rPr>
        <w:szCs w:val="16"/>
      </w:rPr>
      <w:instrText xml:space="preserve"> DATE \@ "yyyy" \* MERGEFORMAT </w:instrText>
    </w:r>
    <w:r w:rsidR="00534B07" w:rsidRPr="003B3E7E">
      <w:rPr>
        <w:szCs w:val="16"/>
      </w:rPr>
      <w:fldChar w:fldCharType="separate"/>
    </w:r>
    <w:r w:rsidR="00DA37EF">
      <w:rPr>
        <w:szCs w:val="16"/>
      </w:rPr>
      <w:t>2016</w:t>
    </w:r>
    <w:r w:rsidR="00534B07" w:rsidRPr="003B3E7E">
      <w:rPr>
        <w:szCs w:val="16"/>
      </w:rPr>
      <w:fldChar w:fldCharType="end"/>
    </w:r>
    <w:r w:rsidRPr="003B3E7E">
      <w:rPr>
        <w:szCs w:val="16"/>
      </w:rPr>
      <w:t>) Volume 00, No  1, pp 00-00</w:t>
    </w:r>
  </w:p>
  <w:p w:rsidR="00CF3A4D" w:rsidRPr="003B3E7E" w:rsidRDefault="00CF3A4D" w:rsidP="00FF6C21">
    <w:pPr>
      <w:pStyle w:val="Header"/>
      <w:jc w:val="center"/>
      <w:rPr>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7896"/>
      <w:docPartObj>
        <w:docPartGallery w:val="Page Numbers (Top of Page)"/>
        <w:docPartUnique/>
      </w:docPartObj>
    </w:sdtPr>
    <w:sdtContent>
      <w:p w:rsidR="00CF3A4D" w:rsidRDefault="00CF3A4D" w:rsidP="00FF6C21">
        <w:pPr>
          <w:shd w:val="clear" w:color="auto" w:fill="FFFFFF"/>
          <w:spacing w:after="0" w:line="360" w:lineRule="auto"/>
          <w:jc w:val="center"/>
        </w:pPr>
      </w:p>
      <w:tbl>
        <w:tblPr>
          <w:tblpPr w:leftFromText="180" w:rightFromText="180" w:vertAnchor="text" w:horzAnchor="margin" w:tblpXSpec="center" w:tblpY="-359"/>
          <w:tblW w:w="5625" w:type="pct"/>
          <w:tblCellMar>
            <w:left w:w="0" w:type="dxa"/>
            <w:right w:w="0" w:type="dxa"/>
          </w:tblCellMar>
          <w:tblLook w:val="0000"/>
        </w:tblPr>
        <w:tblGrid>
          <w:gridCol w:w="10155"/>
        </w:tblGrid>
        <w:tr w:rsidR="00CF3A4D" w:rsidRPr="008809FE" w:rsidTr="009B31FD">
          <w:trPr>
            <w:trHeight w:val="945"/>
          </w:trPr>
          <w:tc>
            <w:tcPr>
              <w:tcW w:w="5000" w:type="pct"/>
              <w:shd w:val="clear" w:color="auto" w:fill="E1F0FF"/>
              <w:vAlign w:val="center"/>
            </w:tcPr>
            <w:p w:rsidR="00CF3A4D" w:rsidRPr="009B31FD" w:rsidRDefault="00CF3A4D" w:rsidP="009B31FD">
              <w:pPr>
                <w:spacing w:after="0" w:line="360" w:lineRule="auto"/>
                <w:jc w:val="center"/>
                <w:rPr>
                  <w:rFonts w:ascii="Arial" w:hAnsi="Arial" w:cs="Arial"/>
                  <w:b/>
                  <w:bCs/>
                  <w:color w:val="0070C0"/>
                </w:rPr>
              </w:pPr>
              <w:r w:rsidRPr="009B31FD">
                <w:rPr>
                  <w:rFonts w:ascii="Arial" w:hAnsi="Arial" w:cs="Arial"/>
                  <w:b/>
                  <w:bCs/>
                  <w:color w:val="0070C0"/>
                </w:rPr>
                <w:t>American Scientific Research Journal for Engineering, Technology,  and Sciences  (ASRJETS)</w:t>
              </w:r>
            </w:p>
            <w:p w:rsidR="00CF3A4D" w:rsidRPr="009B31FD" w:rsidRDefault="00CF3A4D" w:rsidP="009B31FD">
              <w:pPr>
                <w:spacing w:after="0" w:line="360" w:lineRule="auto"/>
                <w:jc w:val="center"/>
                <w:rPr>
                  <w:rFonts w:ascii="Arial" w:hAnsi="Arial" w:cs="Arial"/>
                  <w:color w:val="0070C0"/>
                  <w:sz w:val="18"/>
                  <w:szCs w:val="18"/>
                </w:rPr>
              </w:pPr>
              <w:r w:rsidRPr="009B31FD">
                <w:rPr>
                  <w:rFonts w:ascii="Arial" w:hAnsi="Arial" w:cs="Arial"/>
                  <w:color w:val="0070C0"/>
                  <w:sz w:val="18"/>
                  <w:szCs w:val="18"/>
                </w:rPr>
                <w:t>ISSN (Print) 2313-4410, ISSN (Online) 2313-4402</w:t>
              </w:r>
            </w:p>
            <w:p w:rsidR="00CF3A4D" w:rsidRPr="009B31FD" w:rsidRDefault="00CF3A4D" w:rsidP="00CF3A4D">
              <w:pPr>
                <w:pStyle w:val="Header"/>
                <w:spacing w:after="0" w:line="360" w:lineRule="auto"/>
                <w:jc w:val="center"/>
                <w:rPr>
                  <w:rFonts w:ascii="Arial" w:eastAsiaTheme="minorEastAsia" w:hAnsi="Arial" w:cs="Arial"/>
                  <w:i w:val="0"/>
                  <w:noProof w:val="0"/>
                  <w:color w:val="0070C0"/>
                  <w:sz w:val="20"/>
                </w:rPr>
              </w:pPr>
              <w:r w:rsidRPr="009B31FD">
                <w:rPr>
                  <w:rFonts w:ascii="Arial" w:eastAsiaTheme="minorEastAsia" w:hAnsi="Arial" w:cs="Arial"/>
                  <w:i w:val="0"/>
                  <w:noProof w:val="0"/>
                  <w:color w:val="0070C0"/>
                  <w:sz w:val="20"/>
                </w:rPr>
                <w:t xml:space="preserve">© Global Society of Scientific Research and Researchers </w:t>
              </w:r>
            </w:p>
          </w:tc>
        </w:tr>
        <w:tr w:rsidR="00CF3A4D" w:rsidRPr="008809FE" w:rsidTr="009B31FD">
          <w:trPr>
            <w:trHeight w:val="210"/>
          </w:trPr>
          <w:tc>
            <w:tcPr>
              <w:tcW w:w="5000" w:type="pct"/>
              <w:shd w:val="clear" w:color="auto" w:fill="00B0F0"/>
              <w:vAlign w:val="center"/>
            </w:tcPr>
            <w:p w:rsidR="00CF3A4D" w:rsidRPr="009B31FD" w:rsidRDefault="00534B07" w:rsidP="009B31FD">
              <w:pPr>
                <w:pStyle w:val="Els-reprint-line"/>
                <w:rPr>
                  <w:color w:val="FFFFFF" w:themeColor="background1"/>
                  <w:sz w:val="20"/>
                </w:rPr>
              </w:pPr>
              <w:hyperlink r:id="rId1" w:history="1">
                <w:r w:rsidR="00CF3A4D" w:rsidRPr="009B31FD">
                  <w:rPr>
                    <w:rStyle w:val="Hyperlink"/>
                    <w:color w:val="FFFFFF" w:themeColor="background1"/>
                    <w:sz w:val="20"/>
                  </w:rPr>
                  <w:t>http://asrjetsjournal.org/</w:t>
                </w:r>
              </w:hyperlink>
            </w:p>
            <w:p w:rsidR="00CF3A4D" w:rsidRPr="009B31FD" w:rsidRDefault="00CF3A4D" w:rsidP="009B31FD">
              <w:pPr>
                <w:pStyle w:val="Els-reprint-line"/>
                <w:rPr>
                  <w:color w:val="002060"/>
                </w:rPr>
              </w:pPr>
            </w:p>
          </w:tc>
        </w:tr>
      </w:tbl>
      <w:p w:rsidR="00CF3A4D" w:rsidRDefault="00CF3A4D" w:rsidP="00FF6C21">
        <w:pPr>
          <w:shd w:val="clear" w:color="auto" w:fill="FFFFFF"/>
          <w:spacing w:after="0" w:line="360" w:lineRule="auto"/>
          <w:jc w:val="center"/>
        </w:pPr>
      </w:p>
      <w:p w:rsidR="00CF3A4D" w:rsidRDefault="00CF3A4D" w:rsidP="00FF6C21">
        <w:pPr>
          <w:shd w:val="clear" w:color="auto" w:fill="FFFFFF"/>
          <w:spacing w:after="0" w:line="360" w:lineRule="auto"/>
          <w:jc w:val="center"/>
        </w:pPr>
      </w:p>
      <w:p w:rsidR="00CF3A4D" w:rsidRPr="00807DA2" w:rsidRDefault="00534B07" w:rsidP="00FF6C21">
        <w:pPr>
          <w:jc w:val="cente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1AAB4A95"/>
    <w:multiLevelType w:val="hybridMultilevel"/>
    <w:tmpl w:val="28D84E20"/>
    <w:lvl w:ilvl="0" w:tplc="3EA00384">
      <w:start w:val="4"/>
      <w:numFmt w:val="bullet"/>
      <w:lvlText w:val=""/>
      <w:lvlJc w:val="left"/>
      <w:pPr>
        <w:ind w:left="1080" w:hanging="360"/>
      </w:pPr>
      <w:rPr>
        <w:rFonts w:ascii="Symbol" w:eastAsiaTheme="minorHAnsi" w:hAnsi="Symbol" w:cs="Times New Roman"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
    <w:nsid w:val="289B6B00"/>
    <w:multiLevelType w:val="hybridMultilevel"/>
    <w:tmpl w:val="DCD21DB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4">
    <w:nsid w:val="3854287B"/>
    <w:multiLevelType w:val="hybridMultilevel"/>
    <w:tmpl w:val="AC8872E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42696D39"/>
    <w:multiLevelType w:val="hybridMultilevel"/>
    <w:tmpl w:val="B868084E"/>
    <w:lvl w:ilvl="0" w:tplc="C3F05112">
      <w:start w:val="4"/>
      <w:numFmt w:val="bullet"/>
      <w:lvlText w:val=""/>
      <w:lvlJc w:val="left"/>
      <w:pPr>
        <w:ind w:left="720" w:hanging="360"/>
      </w:pPr>
      <w:rPr>
        <w:rFonts w:ascii="Symbol" w:eastAsiaTheme="minorEastAsia"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6C4746D"/>
    <w:multiLevelType w:val="hybridMultilevel"/>
    <w:tmpl w:val="4360126E"/>
    <w:lvl w:ilvl="0" w:tplc="48090013">
      <w:start w:val="1"/>
      <w:numFmt w:val="upp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62D8348D"/>
    <w:multiLevelType w:val="hybridMultilevel"/>
    <w:tmpl w:val="DD545B36"/>
    <w:lvl w:ilvl="0" w:tplc="131EEC4C">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3"/>
  </w:num>
  <w:num w:numId="5">
    <w:abstractNumId w:val="9"/>
  </w:num>
  <w:num w:numId="6">
    <w:abstractNumId w:val="8"/>
  </w:num>
  <w:num w:numId="7">
    <w:abstractNumId w:val="4"/>
  </w:num>
  <w:num w:numId="8">
    <w:abstractNumId w:val="2"/>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1266"/>
  </w:hdrShapeDefaults>
  <w:footnotePr>
    <w:numFmt w:val="lowerLetter"/>
    <w:footnote w:id="0"/>
    <w:footnote w:id="1"/>
  </w:footnotePr>
  <w:endnotePr>
    <w:endnote w:id="0"/>
    <w:endnote w:id="1"/>
  </w:endnotePr>
  <w:compat>
    <w:useFELayout/>
  </w:compat>
  <w:rsids>
    <w:rsidRoot w:val="004125D0"/>
    <w:rsid w:val="00006709"/>
    <w:rsid w:val="0002002A"/>
    <w:rsid w:val="00036465"/>
    <w:rsid w:val="00036FCC"/>
    <w:rsid w:val="0006589F"/>
    <w:rsid w:val="00066C33"/>
    <w:rsid w:val="00074C80"/>
    <w:rsid w:val="00086B1B"/>
    <w:rsid w:val="00095B7E"/>
    <w:rsid w:val="000C17B8"/>
    <w:rsid w:val="000F0B6A"/>
    <w:rsid w:val="00123924"/>
    <w:rsid w:val="00131893"/>
    <w:rsid w:val="00152EB3"/>
    <w:rsid w:val="001578DA"/>
    <w:rsid w:val="001922F9"/>
    <w:rsid w:val="001955AC"/>
    <w:rsid w:val="001A0203"/>
    <w:rsid w:val="001A398D"/>
    <w:rsid w:val="001C12AE"/>
    <w:rsid w:val="001C3A66"/>
    <w:rsid w:val="001D3EB8"/>
    <w:rsid w:val="001E6EB9"/>
    <w:rsid w:val="001F4505"/>
    <w:rsid w:val="001F4836"/>
    <w:rsid w:val="001F7D00"/>
    <w:rsid w:val="00200EC1"/>
    <w:rsid w:val="00215838"/>
    <w:rsid w:val="00231A9A"/>
    <w:rsid w:val="00243DC5"/>
    <w:rsid w:val="00261DA3"/>
    <w:rsid w:val="002755EA"/>
    <w:rsid w:val="002F3057"/>
    <w:rsid w:val="003051CE"/>
    <w:rsid w:val="00310317"/>
    <w:rsid w:val="0032110C"/>
    <w:rsid w:val="003243CD"/>
    <w:rsid w:val="00335E8F"/>
    <w:rsid w:val="00364C84"/>
    <w:rsid w:val="00382162"/>
    <w:rsid w:val="003826DE"/>
    <w:rsid w:val="00397EBD"/>
    <w:rsid w:val="003A5CAF"/>
    <w:rsid w:val="003B4A9F"/>
    <w:rsid w:val="003E34F0"/>
    <w:rsid w:val="003F331A"/>
    <w:rsid w:val="00405DC9"/>
    <w:rsid w:val="004125D0"/>
    <w:rsid w:val="0041400C"/>
    <w:rsid w:val="004217B6"/>
    <w:rsid w:val="0042744D"/>
    <w:rsid w:val="00453726"/>
    <w:rsid w:val="004739E5"/>
    <w:rsid w:val="00474138"/>
    <w:rsid w:val="00475865"/>
    <w:rsid w:val="00477C9A"/>
    <w:rsid w:val="00481FC9"/>
    <w:rsid w:val="004902F0"/>
    <w:rsid w:val="00494296"/>
    <w:rsid w:val="004A1753"/>
    <w:rsid w:val="004B0483"/>
    <w:rsid w:val="004B263F"/>
    <w:rsid w:val="004C38BF"/>
    <w:rsid w:val="004C671D"/>
    <w:rsid w:val="004D333B"/>
    <w:rsid w:val="004E6B20"/>
    <w:rsid w:val="005019F3"/>
    <w:rsid w:val="00515C40"/>
    <w:rsid w:val="00517D7E"/>
    <w:rsid w:val="00521125"/>
    <w:rsid w:val="00531A6F"/>
    <w:rsid w:val="005349ED"/>
    <w:rsid w:val="00534B07"/>
    <w:rsid w:val="00590F8E"/>
    <w:rsid w:val="005A2F06"/>
    <w:rsid w:val="005B0913"/>
    <w:rsid w:val="005C2B34"/>
    <w:rsid w:val="005C2D02"/>
    <w:rsid w:val="005D2DD4"/>
    <w:rsid w:val="005E155F"/>
    <w:rsid w:val="005F15AA"/>
    <w:rsid w:val="00623F81"/>
    <w:rsid w:val="00624AC9"/>
    <w:rsid w:val="00637C17"/>
    <w:rsid w:val="00642179"/>
    <w:rsid w:val="00643D95"/>
    <w:rsid w:val="0064655D"/>
    <w:rsid w:val="00647322"/>
    <w:rsid w:val="00651A83"/>
    <w:rsid w:val="006527FF"/>
    <w:rsid w:val="00661CB8"/>
    <w:rsid w:val="00682A74"/>
    <w:rsid w:val="00686F3B"/>
    <w:rsid w:val="006978F7"/>
    <w:rsid w:val="006B4700"/>
    <w:rsid w:val="006C07DB"/>
    <w:rsid w:val="006C4E32"/>
    <w:rsid w:val="006C5E5E"/>
    <w:rsid w:val="006F5324"/>
    <w:rsid w:val="00712CCF"/>
    <w:rsid w:val="00722B02"/>
    <w:rsid w:val="00745C59"/>
    <w:rsid w:val="007766F4"/>
    <w:rsid w:val="00780521"/>
    <w:rsid w:val="007A61CB"/>
    <w:rsid w:val="007B0912"/>
    <w:rsid w:val="007E5E79"/>
    <w:rsid w:val="007E70C6"/>
    <w:rsid w:val="00812497"/>
    <w:rsid w:val="00834130"/>
    <w:rsid w:val="00836259"/>
    <w:rsid w:val="0085099E"/>
    <w:rsid w:val="008515E2"/>
    <w:rsid w:val="00872A85"/>
    <w:rsid w:val="0088796E"/>
    <w:rsid w:val="008B0A40"/>
    <w:rsid w:val="008C0FF8"/>
    <w:rsid w:val="008C11CB"/>
    <w:rsid w:val="008C3856"/>
    <w:rsid w:val="008E127E"/>
    <w:rsid w:val="008F7B0D"/>
    <w:rsid w:val="008F7F4A"/>
    <w:rsid w:val="00911F47"/>
    <w:rsid w:val="009206D1"/>
    <w:rsid w:val="00927C22"/>
    <w:rsid w:val="009316B4"/>
    <w:rsid w:val="00934CED"/>
    <w:rsid w:val="00954489"/>
    <w:rsid w:val="00965DBB"/>
    <w:rsid w:val="00977E07"/>
    <w:rsid w:val="009812BB"/>
    <w:rsid w:val="009B31FD"/>
    <w:rsid w:val="009B732C"/>
    <w:rsid w:val="009E299E"/>
    <w:rsid w:val="009E69F7"/>
    <w:rsid w:val="009F4556"/>
    <w:rsid w:val="00A117AA"/>
    <w:rsid w:val="00A158FD"/>
    <w:rsid w:val="00A3761D"/>
    <w:rsid w:val="00A3780E"/>
    <w:rsid w:val="00A523AF"/>
    <w:rsid w:val="00A533BF"/>
    <w:rsid w:val="00A90BFB"/>
    <w:rsid w:val="00AB4BC6"/>
    <w:rsid w:val="00AB73FA"/>
    <w:rsid w:val="00AC6276"/>
    <w:rsid w:val="00AD12B9"/>
    <w:rsid w:val="00AD576E"/>
    <w:rsid w:val="00AE3FA6"/>
    <w:rsid w:val="00AE5A82"/>
    <w:rsid w:val="00B140BE"/>
    <w:rsid w:val="00B46005"/>
    <w:rsid w:val="00B72492"/>
    <w:rsid w:val="00B91012"/>
    <w:rsid w:val="00BA19B3"/>
    <w:rsid w:val="00BA7884"/>
    <w:rsid w:val="00BB5039"/>
    <w:rsid w:val="00BD7607"/>
    <w:rsid w:val="00C368A6"/>
    <w:rsid w:val="00C446C4"/>
    <w:rsid w:val="00C45DA3"/>
    <w:rsid w:val="00C64CAE"/>
    <w:rsid w:val="00C65869"/>
    <w:rsid w:val="00C74586"/>
    <w:rsid w:val="00C7613B"/>
    <w:rsid w:val="00C878A2"/>
    <w:rsid w:val="00CC0278"/>
    <w:rsid w:val="00CE74E6"/>
    <w:rsid w:val="00CF0234"/>
    <w:rsid w:val="00CF3A4D"/>
    <w:rsid w:val="00D23670"/>
    <w:rsid w:val="00D534D4"/>
    <w:rsid w:val="00D57505"/>
    <w:rsid w:val="00D6106E"/>
    <w:rsid w:val="00D67BC4"/>
    <w:rsid w:val="00D90ACB"/>
    <w:rsid w:val="00DA314E"/>
    <w:rsid w:val="00DA36FB"/>
    <w:rsid w:val="00DA37EF"/>
    <w:rsid w:val="00DA5C68"/>
    <w:rsid w:val="00DB0868"/>
    <w:rsid w:val="00DB432C"/>
    <w:rsid w:val="00DC3A54"/>
    <w:rsid w:val="00DE6BAE"/>
    <w:rsid w:val="00E103F7"/>
    <w:rsid w:val="00E4031E"/>
    <w:rsid w:val="00E411B6"/>
    <w:rsid w:val="00E4703F"/>
    <w:rsid w:val="00E47F9B"/>
    <w:rsid w:val="00E5401E"/>
    <w:rsid w:val="00E755BE"/>
    <w:rsid w:val="00E84AE1"/>
    <w:rsid w:val="00E904F3"/>
    <w:rsid w:val="00EA0A06"/>
    <w:rsid w:val="00EB082F"/>
    <w:rsid w:val="00ED4721"/>
    <w:rsid w:val="00ED4987"/>
    <w:rsid w:val="00ED6660"/>
    <w:rsid w:val="00EE0BA4"/>
    <w:rsid w:val="00F11C48"/>
    <w:rsid w:val="00F15C48"/>
    <w:rsid w:val="00F26239"/>
    <w:rsid w:val="00F50AAF"/>
    <w:rsid w:val="00F75F9D"/>
    <w:rsid w:val="00F831E4"/>
    <w:rsid w:val="00F9284C"/>
    <w:rsid w:val="00FA2E54"/>
    <w:rsid w:val="00FC5B1D"/>
    <w:rsid w:val="00FE50E7"/>
    <w:rsid w:val="00FE7678"/>
    <w:rsid w:val="00FF6C21"/>
  </w:rsids>
  <m:mathPr>
    <m:mathFont m:val="Cambria Math"/>
    <m:brkBin m:val="before"/>
    <m:brkBinSub m:val="--"/>
    <m:smallFrac/>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2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4125D0"/>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4125D0"/>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4125D0"/>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4125D0"/>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4125D0"/>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4125D0"/>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4125D0"/>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4125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4125D0"/>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4125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4125D0"/>
    <w:pPr>
      <w:numPr>
        <w:numId w:val="1"/>
      </w:numPr>
      <w:tabs>
        <w:tab w:val="left" w:pos="240"/>
      </w:tabs>
      <w:jc w:val="left"/>
    </w:pPr>
  </w:style>
  <w:style w:type="paragraph" w:customStyle="1" w:styleId="Els-caption">
    <w:name w:val="Els-caption"/>
    <w:rsid w:val="004125D0"/>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4125D0"/>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4125D0"/>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4125D0"/>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4125D0"/>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4125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4125D0"/>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4125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4125D0"/>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1A398D"/>
    <w:pPr>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Header">
    <w:name w:val="header"/>
    <w:link w:val="HeaderChar"/>
    <w:uiPriority w:val="99"/>
    <w:rsid w:val="004125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4125D0"/>
    <w:rPr>
      <w:rFonts w:ascii="Times New Roman" w:eastAsia="Times New Roman" w:hAnsi="Times New Roman" w:cs="Times New Roman"/>
      <w:i/>
      <w:noProof/>
      <w:sz w:val="16"/>
      <w:szCs w:val="20"/>
    </w:rPr>
  </w:style>
  <w:style w:type="paragraph" w:styleId="FootnoteText">
    <w:name w:val="footnote text"/>
    <w:basedOn w:val="Normal"/>
    <w:link w:val="FootnoteTextChar"/>
    <w:semiHidden/>
    <w:rsid w:val="004125D0"/>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semiHidden/>
    <w:rsid w:val="004125D0"/>
    <w:rPr>
      <w:rFonts w:ascii="Univers" w:eastAsia="Times New Roman" w:hAnsi="Univers" w:cs="Times New Roman"/>
      <w:sz w:val="20"/>
      <w:szCs w:val="20"/>
      <w:lang w:val="en-GB"/>
    </w:rPr>
  </w:style>
  <w:style w:type="character" w:styleId="Hyperlink">
    <w:name w:val="Hyperlink"/>
    <w:rsid w:val="004125D0"/>
    <w:rPr>
      <w:color w:val="auto"/>
      <w:sz w:val="16"/>
      <w:u w:val="none"/>
    </w:rPr>
  </w:style>
  <w:style w:type="paragraph" w:customStyle="1" w:styleId="Els-Abstract-Copyright">
    <w:name w:val="Els-Abstract-Copyright"/>
    <w:basedOn w:val="Els-Abstract-text"/>
    <w:rsid w:val="004125D0"/>
    <w:pPr>
      <w:spacing w:after="220"/>
    </w:pPr>
  </w:style>
  <w:style w:type="character" w:customStyle="1" w:styleId="Els-1storder-headChar">
    <w:name w:val="Els-1storder-head Char"/>
    <w:link w:val="Els-1storder-head"/>
    <w:rsid w:val="004125D0"/>
    <w:rPr>
      <w:rFonts w:ascii="Times New Roman" w:eastAsia="Times New Roman" w:hAnsi="Times New Roman" w:cs="Times New Roman"/>
      <w:b/>
      <w:sz w:val="20"/>
      <w:szCs w:val="20"/>
    </w:rPr>
  </w:style>
  <w:style w:type="character" w:styleId="Strong">
    <w:name w:val="Strong"/>
    <w:basedOn w:val="DefaultParagraphFont"/>
    <w:uiPriority w:val="22"/>
    <w:qFormat/>
    <w:rsid w:val="004125D0"/>
    <w:rPr>
      <w:b/>
      <w:bCs/>
    </w:rPr>
  </w:style>
  <w:style w:type="paragraph" w:styleId="BodyText">
    <w:name w:val="Body Text"/>
    <w:basedOn w:val="Normal"/>
    <w:link w:val="BodyTextChar"/>
    <w:uiPriority w:val="1"/>
    <w:qFormat/>
    <w:rsid w:val="004125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4125D0"/>
    <w:rPr>
      <w:rFonts w:ascii="Times New Roman" w:eastAsia="MS Mincho" w:hAnsi="Times New Roman" w:cs="Times New Roman"/>
      <w:spacing w:val="-1"/>
      <w:sz w:val="20"/>
      <w:szCs w:val="20"/>
    </w:rPr>
  </w:style>
  <w:style w:type="paragraph" w:customStyle="1" w:styleId="references">
    <w:name w:val="references"/>
    <w:uiPriority w:val="99"/>
    <w:rsid w:val="004125D0"/>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41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D0"/>
    <w:rPr>
      <w:rFonts w:ascii="Tahoma" w:hAnsi="Tahoma" w:cs="Tahoma"/>
      <w:sz w:val="16"/>
      <w:szCs w:val="16"/>
    </w:rPr>
  </w:style>
  <w:style w:type="paragraph" w:styleId="Footer">
    <w:name w:val="footer"/>
    <w:basedOn w:val="Normal"/>
    <w:link w:val="FooterChar"/>
    <w:uiPriority w:val="99"/>
    <w:unhideWhenUsed/>
    <w:rsid w:val="00E403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031E"/>
  </w:style>
  <w:style w:type="character" w:styleId="FootnoteReference">
    <w:name w:val="footnote reference"/>
    <w:basedOn w:val="DefaultParagraphFont"/>
    <w:uiPriority w:val="99"/>
    <w:semiHidden/>
    <w:unhideWhenUsed/>
    <w:rsid w:val="00ED4987"/>
    <w:rPr>
      <w:vertAlign w:val="superscript"/>
    </w:rPr>
  </w:style>
  <w:style w:type="table" w:customStyle="1" w:styleId="TableNormal1">
    <w:name w:val="Table Normal1"/>
    <w:uiPriority w:val="2"/>
    <w:semiHidden/>
    <w:unhideWhenUsed/>
    <w:qFormat/>
    <w:rsid w:val="00C45DA3"/>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C45DA3"/>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Normal"/>
    <w:uiPriority w:val="1"/>
    <w:qFormat/>
    <w:rsid w:val="00C45DA3"/>
    <w:pPr>
      <w:widowControl w:val="0"/>
      <w:spacing w:after="0" w:line="240" w:lineRule="auto"/>
      <w:ind w:left="120"/>
      <w:outlineLvl w:val="2"/>
    </w:pPr>
    <w:rPr>
      <w:rFonts w:ascii="Arial" w:eastAsia="Arial" w:hAnsi="Arial"/>
      <w:b/>
      <w:bCs/>
      <w:sz w:val="24"/>
      <w:szCs w:val="24"/>
    </w:rPr>
  </w:style>
  <w:style w:type="paragraph" w:styleId="ListParagraph">
    <w:name w:val="List Paragraph"/>
    <w:basedOn w:val="Normal"/>
    <w:uiPriority w:val="34"/>
    <w:qFormat/>
    <w:rsid w:val="00C45DA3"/>
    <w:pPr>
      <w:widowControl w:val="0"/>
      <w:spacing w:after="0" w:line="240" w:lineRule="auto"/>
    </w:pPr>
    <w:rPr>
      <w:rFonts w:eastAsiaTheme="minorHAnsi"/>
    </w:rPr>
  </w:style>
  <w:style w:type="paragraph" w:customStyle="1" w:styleId="TableParagraph">
    <w:name w:val="Table Paragraph"/>
    <w:basedOn w:val="Normal"/>
    <w:uiPriority w:val="1"/>
    <w:qFormat/>
    <w:rsid w:val="00C45DA3"/>
    <w:pPr>
      <w:widowControl w:val="0"/>
      <w:spacing w:after="0" w:line="240" w:lineRule="auto"/>
    </w:pPr>
    <w:rPr>
      <w:rFonts w:eastAsiaTheme="minorHAnsi"/>
    </w:rPr>
  </w:style>
  <w:style w:type="table" w:styleId="TableGrid">
    <w:name w:val="Table Grid"/>
    <w:basedOn w:val="TableNormal"/>
    <w:uiPriority w:val="59"/>
    <w:rsid w:val="007B0912"/>
    <w:pPr>
      <w:spacing w:after="0" w:line="240" w:lineRule="auto"/>
    </w:pPr>
    <w:rPr>
      <w:rFonts w:eastAsiaTheme="minorHAnsi"/>
      <w:lang w:val="en-SG"/>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dr.ayethitar@gmail"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hyperlink" Target="http://asrjetsjournal.org/"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9564D-41F9-493B-B277-776ACCBD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9</Pages>
  <Words>2551</Words>
  <Characters>14546</Characters>
  <Application>Microsoft Office Word</Application>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LARA PC C</Company>
  <LinksUpToDate>false</LinksUpToDate>
  <CharactersWithSpaces>17063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SAHIUNY</dc:creator>
  <cp:keywords/>
  <dc:description/>
  <cp:lastModifiedBy>Windows User</cp:lastModifiedBy>
  <cp:revision>121</cp:revision>
  <cp:lastPrinted>2016-11-28T04:58:00Z</cp:lastPrinted>
  <dcterms:created xsi:type="dcterms:W3CDTF">2013-08-06T06:11:00Z</dcterms:created>
  <dcterms:modified xsi:type="dcterms:W3CDTF">2016-11-28T06:12:00Z</dcterms:modified>
</cp:coreProperties>
</file>